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FDAEF" w14:textId="77777777" w:rsidR="00A77B3E" w:rsidRDefault="008A615F">
      <w:pPr>
        <w:spacing w:line="288" w:lineRule="auto"/>
        <w:ind w:left="360"/>
        <w:jc w:val="both"/>
        <w:outlineLvl w:val="0"/>
        <w:rPr>
          <w:rFonts w:ascii="Arial" w:eastAsia="Arial" w:hAnsi="Arial" w:cs="Arial"/>
        </w:rPr>
      </w:pPr>
      <w:bookmarkStart w:id="0" w:name="Section1"/>
      <w:bookmarkEnd w:id="0"/>
      <w:r>
        <w:rPr>
          <w:rFonts w:ascii="Calibri" w:eastAsia="Calibri" w:hAnsi="Calibri" w:cs="Calibri"/>
          <w:b/>
          <w:sz w:val="28"/>
        </w:rPr>
        <w:t xml:space="preserve"> RFP 22-68200 Clarification </w:t>
      </w:r>
    </w:p>
    <w:p w14:paraId="457EE44E" w14:textId="77777777" w:rsidR="00A77B3E" w:rsidRDefault="008A615F">
      <w:pPr>
        <w:spacing w:line="288" w:lineRule="auto"/>
        <w:ind w:left="360"/>
        <w:jc w:val="center"/>
        <w:rPr>
          <w:rFonts w:ascii="Arial" w:eastAsia="Arial" w:hAnsi="Arial" w:cs="Arial"/>
        </w:rPr>
      </w:pPr>
      <w:r>
        <w:rPr>
          <w:rFonts w:ascii="Calibri" w:eastAsia="Calibri" w:hAnsi="Calibri" w:cs="Calibri"/>
          <w:b/>
          <w:color w:val="FFFFFF"/>
          <w:sz w:val="22"/>
          <w:shd w:val="clear" w:color="auto" w:fill="000000"/>
        </w:rPr>
        <w:t>INSTRUCTIONS</w:t>
      </w:r>
    </w:p>
    <w:p w14:paraId="30096A51" w14:textId="77777777" w:rsidR="00A77B3E" w:rsidRDefault="008A615F">
      <w:pPr>
        <w:spacing w:line="288" w:lineRule="auto"/>
        <w:ind w:left="360"/>
        <w:jc w:val="both"/>
        <w:rPr>
          <w:rFonts w:ascii="Arial" w:eastAsia="Arial" w:hAnsi="Arial" w:cs="Arial"/>
        </w:rPr>
      </w:pPr>
      <w:r>
        <w:rPr>
          <w:rFonts w:ascii="Calibri" w:eastAsia="Calibri" w:hAnsi="Calibri" w:cs="Calibri"/>
          <w:b/>
          <w:i/>
          <w:sz w:val="22"/>
        </w:rPr>
        <w:t>Instructions:</w:t>
      </w:r>
      <w:r>
        <w:rPr>
          <w:rFonts w:ascii="Calibri" w:eastAsia="Calibri" w:hAnsi="Calibri" w:cs="Calibri"/>
          <w:i/>
          <w:sz w:val="22"/>
        </w:rPr>
        <w:t xml:space="preserve"> Please provide responses to the clarification question(s)/prompt(s) below. Information provided in the clarification responses will be considered as part of the respondent’s proposal. Where appropriate, supporting documentation may be referenced by specific page and/or paragraph number(s). If any of the responses contain confidential information, as defined by IC 5-14-3, please reference the attached confidential </w:t>
      </w:r>
      <w:proofErr w:type="gramStart"/>
      <w:r>
        <w:rPr>
          <w:rFonts w:ascii="Calibri" w:eastAsia="Calibri" w:hAnsi="Calibri" w:cs="Calibri"/>
          <w:i/>
          <w:sz w:val="22"/>
        </w:rPr>
        <w:t>material</w:t>
      </w:r>
      <w:proofErr w:type="gramEnd"/>
      <w:r>
        <w:rPr>
          <w:rFonts w:ascii="Calibri" w:eastAsia="Calibri" w:hAnsi="Calibri" w:cs="Calibri"/>
          <w:i/>
          <w:sz w:val="22"/>
        </w:rPr>
        <w:t xml:space="preserve"> and separate from the rest of this response document. Otherwise, a redacted version of this clarification document will need to be submitted.</w:t>
      </w:r>
    </w:p>
    <w:p w14:paraId="74406111" w14:textId="77777777" w:rsidR="00A77B3E" w:rsidRDefault="00A77B3E">
      <w:pPr>
        <w:spacing w:line="288" w:lineRule="auto"/>
        <w:ind w:left="360"/>
        <w:jc w:val="both"/>
        <w:rPr>
          <w:rFonts w:ascii="Arial" w:eastAsia="Arial" w:hAnsi="Arial" w:cs="Arial"/>
          <w:sz w:val="22"/>
        </w:rPr>
      </w:pPr>
    </w:p>
    <w:p w14:paraId="64D8B97E" w14:textId="77777777" w:rsidR="00A77B3E" w:rsidRDefault="008A615F">
      <w:pPr>
        <w:spacing w:line="288" w:lineRule="auto"/>
        <w:ind w:left="360"/>
        <w:jc w:val="both"/>
        <w:rPr>
          <w:rFonts w:ascii="Arial" w:eastAsia="Arial" w:hAnsi="Arial" w:cs="Arial"/>
        </w:rPr>
      </w:pPr>
      <w:r>
        <w:rPr>
          <w:rFonts w:ascii="Calibri" w:eastAsia="Calibri" w:hAnsi="Calibri" w:cs="Calibri"/>
          <w:b/>
          <w:sz w:val="22"/>
        </w:rPr>
        <w:t>RESPONDENT: Deloitte</w:t>
      </w:r>
    </w:p>
    <w:p w14:paraId="6950FB66" w14:textId="77777777" w:rsidR="00A77B3E" w:rsidRDefault="008A615F">
      <w:pPr>
        <w:spacing w:line="288" w:lineRule="auto"/>
        <w:ind w:left="360"/>
        <w:jc w:val="both"/>
        <w:rPr>
          <w:rFonts w:ascii="Arial" w:eastAsia="Arial" w:hAnsi="Arial" w:cs="Arial"/>
        </w:rPr>
      </w:pPr>
      <w:r>
        <w:rPr>
          <w:rFonts w:ascii="Calibri" w:eastAsia="Calibri" w:hAnsi="Calibri" w:cs="Calibri"/>
          <w:b/>
          <w:sz w:val="22"/>
        </w:rPr>
        <w:t>DUE DATE: September 2, 2021 BY 3:00 PM EDT</w:t>
      </w:r>
    </w:p>
    <w:tbl>
      <w:tblPr>
        <w:tblW w:w="14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3"/>
        <w:gridCol w:w="4350"/>
        <w:gridCol w:w="8208"/>
      </w:tblGrid>
      <w:tr w:rsidR="00EA4FE6" w:rsidRPr="00F05197" w14:paraId="00D10F03" w14:textId="77777777" w:rsidTr="00542FCF">
        <w:trPr>
          <w:cantSplit/>
          <w:trHeight w:hRule="exact" w:val="495"/>
        </w:trPr>
        <w:tc>
          <w:tcPr>
            <w:tcW w:w="2003" w:type="dxa"/>
            <w:tcBorders>
              <w:top w:val="single" w:sz="2" w:space="0" w:color="000000"/>
              <w:left w:val="single" w:sz="2" w:space="0" w:color="000000"/>
              <w:bottom w:val="single" w:sz="2" w:space="0" w:color="000000"/>
              <w:right w:val="nil"/>
            </w:tcBorders>
            <w:shd w:val="clear" w:color="auto" w:fill="000000"/>
            <w:tcMar>
              <w:top w:w="0" w:type="dxa"/>
              <w:left w:w="53" w:type="dxa"/>
              <w:bottom w:w="0" w:type="dxa"/>
              <w:right w:w="53" w:type="dxa"/>
            </w:tcMar>
          </w:tcPr>
          <w:p w14:paraId="62C97615" w14:textId="77777777" w:rsidR="00EA4FE6" w:rsidRPr="00F05197" w:rsidRDefault="008A615F">
            <w:pPr>
              <w:keepNext/>
              <w:spacing w:before="48" w:after="30"/>
              <w:jc w:val="center"/>
              <w:rPr>
                <w:rFonts w:ascii="Arial" w:hAnsi="Arial" w:cs="Arial"/>
                <w:sz w:val="20"/>
                <w:szCs w:val="20"/>
              </w:rPr>
            </w:pPr>
            <w:r w:rsidRPr="00F05197">
              <w:rPr>
                <w:rFonts w:ascii="Arial" w:eastAsia="Calibri" w:hAnsi="Arial" w:cs="Arial"/>
                <w:b/>
                <w:color w:val="FFFFFF"/>
                <w:sz w:val="20"/>
                <w:szCs w:val="20"/>
              </w:rPr>
              <w:lastRenderedPageBreak/>
              <w:t>Section/Topic</w:t>
            </w:r>
          </w:p>
        </w:tc>
        <w:tc>
          <w:tcPr>
            <w:tcW w:w="4350" w:type="dxa"/>
            <w:tcBorders>
              <w:top w:val="single" w:sz="2" w:space="0" w:color="000000"/>
              <w:left w:val="single" w:sz="2" w:space="0" w:color="000000"/>
              <w:bottom w:val="single" w:sz="2" w:space="0" w:color="000000"/>
              <w:right w:val="nil"/>
            </w:tcBorders>
            <w:shd w:val="clear" w:color="auto" w:fill="000000"/>
            <w:tcMar>
              <w:top w:w="0" w:type="dxa"/>
              <w:left w:w="53" w:type="dxa"/>
              <w:bottom w:w="0" w:type="dxa"/>
              <w:right w:w="53" w:type="dxa"/>
            </w:tcMar>
          </w:tcPr>
          <w:p w14:paraId="65C3F166" w14:textId="77777777" w:rsidR="00EA4FE6" w:rsidRPr="00F05197" w:rsidRDefault="008A615F">
            <w:pPr>
              <w:keepNext/>
              <w:spacing w:before="48" w:after="30"/>
              <w:jc w:val="center"/>
              <w:rPr>
                <w:rFonts w:ascii="Arial" w:hAnsi="Arial" w:cs="Arial"/>
                <w:sz w:val="20"/>
                <w:szCs w:val="20"/>
              </w:rPr>
            </w:pPr>
            <w:r w:rsidRPr="00F05197">
              <w:rPr>
                <w:rFonts w:ascii="Arial" w:eastAsia="Calibri" w:hAnsi="Arial" w:cs="Arial"/>
                <w:b/>
                <w:color w:val="FFFFFF"/>
                <w:sz w:val="20"/>
                <w:szCs w:val="20"/>
              </w:rPr>
              <w:t>Clarification Question</w:t>
            </w:r>
          </w:p>
        </w:tc>
        <w:tc>
          <w:tcPr>
            <w:tcW w:w="8208" w:type="dxa"/>
            <w:tcBorders>
              <w:top w:val="single" w:sz="2" w:space="0" w:color="000000"/>
              <w:left w:val="single" w:sz="2" w:space="0" w:color="000000"/>
              <w:bottom w:val="single" w:sz="2" w:space="0" w:color="000000"/>
              <w:right w:val="single" w:sz="2" w:space="0" w:color="000000"/>
            </w:tcBorders>
            <w:shd w:val="clear" w:color="auto" w:fill="000000"/>
            <w:tcMar>
              <w:top w:w="0" w:type="dxa"/>
              <w:left w:w="53" w:type="dxa"/>
              <w:bottom w:w="0" w:type="dxa"/>
              <w:right w:w="53" w:type="dxa"/>
            </w:tcMar>
          </w:tcPr>
          <w:p w14:paraId="2910B3DE" w14:textId="77777777" w:rsidR="00EA4FE6" w:rsidRPr="00F05197" w:rsidRDefault="008A615F">
            <w:pPr>
              <w:keepNext/>
              <w:spacing w:before="48" w:after="30"/>
              <w:jc w:val="center"/>
              <w:rPr>
                <w:rFonts w:ascii="Arial" w:hAnsi="Arial" w:cs="Arial"/>
                <w:sz w:val="20"/>
                <w:szCs w:val="20"/>
              </w:rPr>
            </w:pPr>
            <w:r w:rsidRPr="00F05197">
              <w:rPr>
                <w:rFonts w:ascii="Arial" w:eastAsia="Calibri" w:hAnsi="Arial" w:cs="Arial"/>
                <w:b/>
                <w:color w:val="FFFFFF"/>
                <w:sz w:val="20"/>
                <w:szCs w:val="20"/>
              </w:rPr>
              <w:t>Respondent Response</w:t>
            </w:r>
          </w:p>
        </w:tc>
      </w:tr>
      <w:tr w:rsidR="00EA4FE6" w:rsidRPr="00F05197" w14:paraId="49323CE7" w14:textId="77777777" w:rsidTr="004157F4">
        <w:trPr>
          <w:cantSplit/>
          <w:trHeight w:hRule="exact" w:val="7817"/>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6F39A4E1"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2.4.1.1</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11772DD3"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Within the response, the Respondent indicates it is compatible with Microsoft products such as Word, Excel, and PowerPoint.  Please confirm they are compatible with all Microsoft products.  Specifically, confirm they are compatible with Visio.</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2425ADD4" w14:textId="77777777" w:rsidR="00EA4FE6" w:rsidRPr="00F05197" w:rsidRDefault="008A615F">
            <w:pPr>
              <w:keepNext/>
              <w:spacing w:before="48"/>
              <w:rPr>
                <w:rFonts w:ascii="Arial" w:eastAsia="Arial" w:hAnsi="Arial" w:cs="Arial"/>
                <w:sz w:val="20"/>
                <w:szCs w:val="20"/>
              </w:rPr>
            </w:pPr>
            <w:r w:rsidRPr="00F05197">
              <w:rPr>
                <w:rFonts w:ascii="Arial" w:eastAsia="Arial" w:hAnsi="Arial" w:cs="Arial"/>
                <w:sz w:val="20"/>
                <w:szCs w:val="20"/>
              </w:rPr>
              <w:t xml:space="preserve">The Workiva Platform is an end-to-end solution for Audit Management and Internal Controls Management, meaning best practice is to use the Workiva </w:t>
            </w:r>
            <w:r w:rsidR="009A57EC" w:rsidRPr="00F05197">
              <w:rPr>
                <w:rFonts w:ascii="Arial" w:eastAsia="Arial" w:hAnsi="Arial" w:cs="Arial"/>
                <w:sz w:val="20"/>
                <w:szCs w:val="20"/>
              </w:rPr>
              <w:t>P</w:t>
            </w:r>
            <w:r w:rsidRPr="00F05197">
              <w:rPr>
                <w:rFonts w:ascii="Arial" w:eastAsia="Arial" w:hAnsi="Arial" w:cs="Arial"/>
                <w:sz w:val="20"/>
                <w:szCs w:val="20"/>
              </w:rPr>
              <w:t xml:space="preserve">latform for all audit and internal controls related activities, communication, documentation, processes, storage, and workflows. The Workiva Platform functions as the DOR’s new system of work, replacing Microsoft Office (MO) products. </w:t>
            </w:r>
          </w:p>
          <w:p w14:paraId="548A5E01" w14:textId="77777777" w:rsidR="00EA4FE6" w:rsidRPr="00F05197" w:rsidRDefault="00EA4FE6">
            <w:pPr>
              <w:rPr>
                <w:rFonts w:ascii="Arial" w:eastAsia="Arial" w:hAnsi="Arial" w:cs="Arial"/>
                <w:sz w:val="20"/>
                <w:szCs w:val="20"/>
              </w:rPr>
            </w:pPr>
          </w:p>
          <w:p w14:paraId="5B452AD9" w14:textId="77777777" w:rsidR="00EA4FE6" w:rsidRPr="00F05197" w:rsidRDefault="008A615F">
            <w:pPr>
              <w:rPr>
                <w:rFonts w:ascii="Arial" w:eastAsia="Arial" w:hAnsi="Arial" w:cs="Arial"/>
                <w:sz w:val="20"/>
                <w:szCs w:val="20"/>
              </w:rPr>
            </w:pPr>
            <w:r w:rsidRPr="00F05197">
              <w:rPr>
                <w:rFonts w:ascii="Arial" w:eastAsia="Arial" w:hAnsi="Arial" w:cs="Arial"/>
                <w:sz w:val="20"/>
                <w:szCs w:val="20"/>
              </w:rPr>
              <w:t>In reference to specific MO compatibility, the DOR can:</w:t>
            </w:r>
          </w:p>
          <w:p w14:paraId="0789A28C" w14:textId="77777777" w:rsidR="00EA4FE6" w:rsidRPr="00F05197" w:rsidRDefault="008A615F">
            <w:pPr>
              <w:numPr>
                <w:ilvl w:val="0"/>
                <w:numId w:val="6"/>
              </w:numPr>
              <w:rPr>
                <w:rFonts w:ascii="Arial" w:eastAsia="Arial" w:hAnsi="Arial" w:cs="Arial"/>
                <w:sz w:val="20"/>
                <w:szCs w:val="20"/>
              </w:rPr>
            </w:pPr>
            <w:r w:rsidRPr="00F05197">
              <w:rPr>
                <w:rFonts w:ascii="Arial" w:eastAsia="Arial" w:hAnsi="Arial" w:cs="Arial"/>
                <w:sz w:val="20"/>
                <w:szCs w:val="20"/>
              </w:rPr>
              <w:t>Export Workiva files in the following MO file formats: .csv, .docx, .htm, .pdf, .pptx, .</w:t>
            </w:r>
            <w:proofErr w:type="spellStart"/>
            <w:r w:rsidRPr="00F05197">
              <w:rPr>
                <w:rFonts w:ascii="Arial" w:eastAsia="Arial" w:hAnsi="Arial" w:cs="Arial"/>
                <w:sz w:val="20"/>
                <w:szCs w:val="20"/>
              </w:rPr>
              <w:t>xhtml</w:t>
            </w:r>
            <w:proofErr w:type="spellEnd"/>
            <w:r w:rsidRPr="00F05197">
              <w:rPr>
                <w:rFonts w:ascii="Arial" w:eastAsia="Arial" w:hAnsi="Arial" w:cs="Arial"/>
                <w:sz w:val="20"/>
                <w:szCs w:val="20"/>
              </w:rPr>
              <w:t>, .xlsx; and,</w:t>
            </w:r>
          </w:p>
          <w:p w14:paraId="462D94EC" w14:textId="77777777" w:rsidR="00EA4FE6" w:rsidRPr="00F05197" w:rsidRDefault="008A615F">
            <w:pPr>
              <w:numPr>
                <w:ilvl w:val="0"/>
                <w:numId w:val="6"/>
              </w:numPr>
              <w:rPr>
                <w:rFonts w:ascii="Arial" w:eastAsia="Arial" w:hAnsi="Arial" w:cs="Arial"/>
                <w:sz w:val="20"/>
                <w:szCs w:val="20"/>
              </w:rPr>
            </w:pPr>
            <w:r w:rsidRPr="00F05197">
              <w:rPr>
                <w:rFonts w:ascii="Arial" w:eastAsia="Arial" w:hAnsi="Arial" w:cs="Arial"/>
                <w:sz w:val="20"/>
                <w:szCs w:val="20"/>
              </w:rPr>
              <w:t>Import the following MO files formats into Workiva: .csv, .docx, .pptx, .xlsx.</w:t>
            </w:r>
          </w:p>
          <w:p w14:paraId="5DB70730" w14:textId="77777777" w:rsidR="00EA4FE6" w:rsidRPr="00F05197" w:rsidRDefault="00EA4FE6">
            <w:pPr>
              <w:rPr>
                <w:rFonts w:ascii="Arial" w:eastAsia="Arial" w:hAnsi="Arial" w:cs="Arial"/>
                <w:sz w:val="20"/>
                <w:szCs w:val="20"/>
              </w:rPr>
            </w:pPr>
          </w:p>
          <w:p w14:paraId="519B9407" w14:textId="77777777" w:rsidR="00EA4FE6" w:rsidRPr="00F05197" w:rsidRDefault="008A615F">
            <w:pPr>
              <w:rPr>
                <w:rFonts w:ascii="Arial" w:eastAsia="Arial" w:hAnsi="Arial" w:cs="Arial"/>
                <w:sz w:val="20"/>
                <w:szCs w:val="20"/>
              </w:rPr>
            </w:pPr>
            <w:r w:rsidRPr="00F05197">
              <w:rPr>
                <w:rFonts w:ascii="Arial" w:eastAsia="Arial" w:hAnsi="Arial" w:cs="Arial"/>
                <w:sz w:val="20"/>
                <w:szCs w:val="20"/>
              </w:rPr>
              <w:t xml:space="preserve">In reference to specific Visio compatibility, the Workiva Platform’s presentation-editor and associated features and functions replace the use of Visio. The implementation team imports and converts Visio files provided by the DOR into Workiva’s presentation-editor. The DOR uses the presentation-editor to build future flowcharts or edit current flowcharts, as needed. The importing and exporting of Visio files </w:t>
            </w:r>
            <w:proofErr w:type="gramStart"/>
            <w:r w:rsidRPr="00F05197">
              <w:rPr>
                <w:rFonts w:ascii="Arial" w:eastAsia="Arial" w:hAnsi="Arial" w:cs="Arial"/>
                <w:sz w:val="20"/>
                <w:szCs w:val="20"/>
              </w:rPr>
              <w:t>is</w:t>
            </w:r>
            <w:proofErr w:type="gramEnd"/>
            <w:r w:rsidRPr="00F05197">
              <w:rPr>
                <w:rFonts w:ascii="Arial" w:eastAsia="Arial" w:hAnsi="Arial" w:cs="Arial"/>
                <w:sz w:val="20"/>
                <w:szCs w:val="20"/>
              </w:rPr>
              <w:t xml:space="preserve"> not available to the DOR, and the DOR cannot export presentation-editor files in Visio format. Using Workiva’s presentation-editor enables the DOR to link information between the risk control matrix, flowcharts and testing, and the DOR can upload Visio file types (i.e.</w:t>
            </w:r>
            <w:proofErr w:type="gramStart"/>
            <w:r w:rsidRPr="00F05197">
              <w:rPr>
                <w:rFonts w:ascii="Arial" w:eastAsia="Arial" w:hAnsi="Arial" w:cs="Arial"/>
                <w:sz w:val="20"/>
                <w:szCs w:val="20"/>
              </w:rPr>
              <w:t>, .</w:t>
            </w:r>
            <w:proofErr w:type="spellStart"/>
            <w:r w:rsidRPr="00F05197">
              <w:rPr>
                <w:rFonts w:ascii="Arial" w:eastAsia="Arial" w:hAnsi="Arial" w:cs="Arial"/>
                <w:sz w:val="20"/>
                <w:szCs w:val="20"/>
              </w:rPr>
              <w:t>vsdx</w:t>
            </w:r>
            <w:proofErr w:type="spellEnd"/>
            <w:proofErr w:type="gramEnd"/>
            <w:r w:rsidRPr="00F05197">
              <w:rPr>
                <w:rFonts w:ascii="Arial" w:eastAsia="Arial" w:hAnsi="Arial" w:cs="Arial"/>
                <w:sz w:val="20"/>
                <w:szCs w:val="20"/>
              </w:rPr>
              <w:t xml:space="preserve">) as attachments whether for evidence or for storage and retention purposes. </w:t>
            </w:r>
          </w:p>
          <w:p w14:paraId="588AB758" w14:textId="77777777" w:rsidR="00EA4FE6" w:rsidRPr="00F05197" w:rsidRDefault="00EA4FE6">
            <w:pPr>
              <w:rPr>
                <w:rFonts w:ascii="Arial" w:eastAsia="Arial" w:hAnsi="Arial" w:cs="Arial"/>
                <w:sz w:val="20"/>
                <w:szCs w:val="20"/>
              </w:rPr>
            </w:pPr>
          </w:p>
          <w:p w14:paraId="5CA88CE6" w14:textId="77777777" w:rsidR="00EA4FE6" w:rsidRPr="00F05197" w:rsidRDefault="008A615F">
            <w:pPr>
              <w:spacing w:after="30"/>
              <w:rPr>
                <w:rFonts w:ascii="Arial" w:eastAsia="Arial" w:hAnsi="Arial" w:cs="Arial"/>
                <w:sz w:val="20"/>
                <w:szCs w:val="20"/>
              </w:rPr>
            </w:pPr>
            <w:r w:rsidRPr="00F05197">
              <w:rPr>
                <w:rFonts w:ascii="Arial" w:eastAsia="Arial" w:hAnsi="Arial" w:cs="Arial"/>
                <w:sz w:val="20"/>
                <w:szCs w:val="20"/>
              </w:rPr>
              <w:t>Lastly, the Workiva Platform supports the upload of an extensive list of file types</w:t>
            </w:r>
            <w:r w:rsidR="009A57EC" w:rsidRPr="00F05197">
              <w:rPr>
                <w:rFonts w:ascii="Arial" w:eastAsia="Arial" w:hAnsi="Arial" w:cs="Arial"/>
                <w:sz w:val="20"/>
                <w:szCs w:val="20"/>
              </w:rPr>
              <w:t xml:space="preserve"> as attachments</w:t>
            </w:r>
            <w:r w:rsidRPr="00F05197">
              <w:rPr>
                <w:rFonts w:ascii="Arial" w:eastAsia="Arial" w:hAnsi="Arial" w:cs="Arial"/>
                <w:sz w:val="20"/>
                <w:szCs w:val="20"/>
              </w:rPr>
              <w:t xml:space="preserve"> (e.g., for evidence, for storage and retention purposes, etc.,) including but not limited to the following: </w:t>
            </w:r>
            <w:proofErr w:type="spellStart"/>
            <w:r w:rsidRPr="00F05197">
              <w:rPr>
                <w:rFonts w:ascii="Arial" w:eastAsia="Arial" w:hAnsi="Arial" w:cs="Arial"/>
                <w:sz w:val="20"/>
                <w:szCs w:val="20"/>
              </w:rPr>
              <w:t>accdb</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accde</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accdr</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accdt</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arf</w:t>
            </w:r>
            <w:proofErr w:type="spellEnd"/>
            <w:r w:rsidRPr="00F05197">
              <w:rPr>
                <w:rFonts w:ascii="Arial" w:eastAsia="Arial" w:hAnsi="Arial" w:cs="Arial"/>
                <w:sz w:val="20"/>
                <w:szCs w:val="20"/>
              </w:rPr>
              <w:t>, .bmp, .</w:t>
            </w:r>
            <w:proofErr w:type="spellStart"/>
            <w:r w:rsidRPr="00F05197">
              <w:rPr>
                <w:rFonts w:ascii="Arial" w:eastAsia="Arial" w:hAnsi="Arial" w:cs="Arial"/>
                <w:sz w:val="20"/>
                <w:szCs w:val="20"/>
              </w:rPr>
              <w:t>cgm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css</w:t>
            </w:r>
            <w:proofErr w:type="spellEnd"/>
            <w:r w:rsidRPr="00F05197">
              <w:rPr>
                <w:rFonts w:ascii="Arial" w:eastAsia="Arial" w:hAnsi="Arial" w:cs="Arial"/>
                <w:sz w:val="20"/>
                <w:szCs w:val="20"/>
              </w:rPr>
              <w:t>, .csv, .</w:t>
            </w:r>
            <w:proofErr w:type="spellStart"/>
            <w:r w:rsidRPr="00F05197">
              <w:rPr>
                <w:rFonts w:ascii="Arial" w:eastAsia="Arial" w:hAnsi="Arial" w:cs="Arial"/>
                <w:sz w:val="20"/>
                <w:szCs w:val="20"/>
              </w:rPr>
              <w:t>dfb</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dfx</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dif</w:t>
            </w:r>
            <w:proofErr w:type="spellEnd"/>
            <w:r w:rsidRPr="00F05197">
              <w:rPr>
                <w:rFonts w:ascii="Arial" w:eastAsia="Arial" w:hAnsi="Arial" w:cs="Arial"/>
                <w:sz w:val="20"/>
                <w:szCs w:val="20"/>
              </w:rPr>
              <w:t>, .doc, .</w:t>
            </w:r>
            <w:proofErr w:type="spellStart"/>
            <w:r w:rsidRPr="00F05197">
              <w:rPr>
                <w:rFonts w:ascii="Arial" w:eastAsia="Arial" w:hAnsi="Arial" w:cs="Arial"/>
                <w:sz w:val="20"/>
                <w:szCs w:val="20"/>
              </w:rPr>
              <w:t>docm</w:t>
            </w:r>
            <w:proofErr w:type="spellEnd"/>
            <w:r w:rsidRPr="00F05197">
              <w:rPr>
                <w:rFonts w:ascii="Arial" w:eastAsia="Arial" w:hAnsi="Arial" w:cs="Arial"/>
                <w:sz w:val="20"/>
                <w:szCs w:val="20"/>
              </w:rPr>
              <w:t>, .docx, .dot, .</w:t>
            </w:r>
            <w:proofErr w:type="spellStart"/>
            <w:r w:rsidRPr="00F05197">
              <w:rPr>
                <w:rFonts w:ascii="Arial" w:eastAsia="Arial" w:hAnsi="Arial" w:cs="Arial"/>
                <w:sz w:val="20"/>
                <w:szCs w:val="20"/>
              </w:rPr>
              <w:t>dotm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dotx</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egp</w:t>
            </w:r>
            <w:proofErr w:type="spellEnd"/>
            <w:r w:rsidRPr="00F05197">
              <w:rPr>
                <w:rFonts w:ascii="Arial" w:eastAsia="Arial" w:hAnsi="Arial" w:cs="Arial"/>
                <w:sz w:val="20"/>
                <w:szCs w:val="20"/>
              </w:rPr>
              <w:t>, .emf, .</w:t>
            </w:r>
            <w:proofErr w:type="spellStart"/>
            <w:r w:rsidRPr="00F05197">
              <w:rPr>
                <w:rFonts w:ascii="Arial" w:eastAsia="Arial" w:hAnsi="Arial" w:cs="Arial"/>
                <w:sz w:val="20"/>
                <w:szCs w:val="20"/>
              </w:rPr>
              <w:t>eml</w:t>
            </w:r>
            <w:proofErr w:type="spellEnd"/>
            <w:r w:rsidRPr="00F05197">
              <w:rPr>
                <w:rFonts w:ascii="Arial" w:eastAsia="Arial" w:hAnsi="Arial" w:cs="Arial"/>
                <w:sz w:val="20"/>
                <w:szCs w:val="20"/>
              </w:rPr>
              <w:t>, .eps, .gif, .</w:t>
            </w:r>
            <w:proofErr w:type="spellStart"/>
            <w:r w:rsidRPr="00F05197">
              <w:rPr>
                <w:rFonts w:ascii="Arial" w:eastAsia="Arial" w:hAnsi="Arial" w:cs="Arial"/>
                <w:sz w:val="20"/>
                <w:szCs w:val="20"/>
              </w:rPr>
              <w:t>hwp</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icml</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ics</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jpe</w:t>
            </w:r>
            <w:proofErr w:type="spellEnd"/>
            <w:r w:rsidRPr="00F05197">
              <w:rPr>
                <w:rFonts w:ascii="Arial" w:eastAsia="Arial" w:hAnsi="Arial" w:cs="Arial"/>
                <w:sz w:val="20"/>
                <w:szCs w:val="20"/>
              </w:rPr>
              <w:t>, .jpeg, .jpg, .</w:t>
            </w:r>
            <w:proofErr w:type="spellStart"/>
            <w:r w:rsidRPr="00F05197">
              <w:rPr>
                <w:rFonts w:ascii="Arial" w:eastAsia="Arial" w:hAnsi="Arial" w:cs="Arial"/>
                <w:sz w:val="20"/>
                <w:szCs w:val="20"/>
              </w:rPr>
              <w:t>jtd</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jtt</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lis</w:t>
            </w:r>
            <w:proofErr w:type="spellEnd"/>
            <w:r w:rsidRPr="00F05197">
              <w:rPr>
                <w:rFonts w:ascii="Arial" w:eastAsia="Arial" w:hAnsi="Arial" w:cs="Arial"/>
                <w:sz w:val="20"/>
                <w:szCs w:val="20"/>
              </w:rPr>
              <w:t>, .log, .</w:t>
            </w:r>
            <w:proofErr w:type="spellStart"/>
            <w:r w:rsidRPr="00F05197">
              <w:rPr>
                <w:rFonts w:ascii="Arial" w:eastAsia="Arial" w:hAnsi="Arial" w:cs="Arial"/>
                <w:sz w:val="20"/>
                <w:szCs w:val="20"/>
              </w:rPr>
              <w:t>lst</w:t>
            </w:r>
            <w:proofErr w:type="spellEnd"/>
            <w:r w:rsidRPr="00F05197">
              <w:rPr>
                <w:rFonts w:ascii="Arial" w:eastAsia="Arial" w:hAnsi="Arial" w:cs="Arial"/>
                <w:sz w:val="20"/>
                <w:szCs w:val="20"/>
              </w:rPr>
              <w:t>, .met, .</w:t>
            </w:r>
            <w:proofErr w:type="spellStart"/>
            <w:r w:rsidRPr="00F05197">
              <w:rPr>
                <w:rFonts w:ascii="Arial" w:eastAsia="Arial" w:hAnsi="Arial" w:cs="Arial"/>
                <w:sz w:val="20"/>
                <w:szCs w:val="20"/>
              </w:rPr>
              <w:t>mht</w:t>
            </w:r>
            <w:proofErr w:type="spellEnd"/>
            <w:r w:rsidRPr="00F05197">
              <w:rPr>
                <w:rFonts w:ascii="Arial" w:eastAsia="Arial" w:hAnsi="Arial" w:cs="Arial"/>
                <w:sz w:val="20"/>
                <w:szCs w:val="20"/>
              </w:rPr>
              <w:t>, .mml, .mp4, .msg, .</w:t>
            </w:r>
            <w:proofErr w:type="spellStart"/>
            <w:r w:rsidRPr="00F05197">
              <w:rPr>
                <w:rFonts w:ascii="Arial" w:eastAsia="Arial" w:hAnsi="Arial" w:cs="Arial"/>
                <w:sz w:val="20"/>
                <w:szCs w:val="20"/>
              </w:rPr>
              <w:t>mwv</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odg</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odm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odp</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ods</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odt</w:t>
            </w:r>
            <w:proofErr w:type="spellEnd"/>
            <w:r w:rsidRPr="00F05197">
              <w:rPr>
                <w:rFonts w:ascii="Arial" w:eastAsia="Arial" w:hAnsi="Arial" w:cs="Arial"/>
                <w:sz w:val="20"/>
                <w:szCs w:val="20"/>
              </w:rPr>
              <w:t>, .one, .onetoc2, .</w:t>
            </w:r>
            <w:proofErr w:type="spellStart"/>
            <w:r w:rsidRPr="00F05197">
              <w:rPr>
                <w:rFonts w:ascii="Arial" w:eastAsia="Arial" w:hAnsi="Arial" w:cs="Arial"/>
                <w:sz w:val="20"/>
                <w:szCs w:val="20"/>
              </w:rPr>
              <w:t>oth</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otg</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ott</w:t>
            </w:r>
            <w:proofErr w:type="spellEnd"/>
            <w:r w:rsidRPr="00F05197">
              <w:rPr>
                <w:rFonts w:ascii="Arial" w:eastAsia="Arial" w:hAnsi="Arial" w:cs="Arial"/>
                <w:sz w:val="20"/>
                <w:szCs w:val="20"/>
              </w:rPr>
              <w:t>, .pct, .</w:t>
            </w:r>
            <w:proofErr w:type="spellStart"/>
            <w:r w:rsidRPr="00F05197">
              <w:rPr>
                <w:rFonts w:ascii="Arial" w:eastAsia="Arial" w:hAnsi="Arial" w:cs="Arial"/>
                <w:sz w:val="20"/>
                <w:szCs w:val="20"/>
              </w:rPr>
              <w:t>pcx</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pdb</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pbm</w:t>
            </w:r>
            <w:proofErr w:type="spellEnd"/>
            <w:r w:rsidRPr="00F05197">
              <w:rPr>
                <w:rFonts w:ascii="Arial" w:eastAsia="Arial" w:hAnsi="Arial" w:cs="Arial"/>
                <w:sz w:val="20"/>
                <w:szCs w:val="20"/>
              </w:rPr>
              <w:t>, .pdf, .</w:t>
            </w:r>
            <w:proofErr w:type="spellStart"/>
            <w:r w:rsidRPr="00F05197">
              <w:rPr>
                <w:rFonts w:ascii="Arial" w:eastAsia="Arial" w:hAnsi="Arial" w:cs="Arial"/>
                <w:sz w:val="20"/>
                <w:szCs w:val="20"/>
              </w:rPr>
              <w:t>pgm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pictclipping</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pfx</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plt</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png</w:t>
            </w:r>
            <w:proofErr w:type="spellEnd"/>
            <w:r w:rsidRPr="00F05197">
              <w:rPr>
                <w:rFonts w:ascii="Arial" w:eastAsia="Arial" w:hAnsi="Arial" w:cs="Arial"/>
                <w:sz w:val="20"/>
                <w:szCs w:val="20"/>
              </w:rPr>
              <w:t>, .pot, .</w:t>
            </w:r>
            <w:proofErr w:type="spellStart"/>
            <w:r w:rsidRPr="00F05197">
              <w:rPr>
                <w:rFonts w:ascii="Arial" w:eastAsia="Arial" w:hAnsi="Arial" w:cs="Arial"/>
                <w:sz w:val="20"/>
                <w:szCs w:val="20"/>
              </w:rPr>
              <w:t>potm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potx</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ppa</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ppam</w:t>
            </w:r>
            <w:proofErr w:type="spellEnd"/>
            <w:r w:rsidRPr="00F05197">
              <w:rPr>
                <w:rFonts w:ascii="Arial" w:eastAsia="Arial" w:hAnsi="Arial" w:cs="Arial"/>
                <w:sz w:val="20"/>
                <w:szCs w:val="20"/>
              </w:rPr>
              <w:t>, .ppm, .</w:t>
            </w:r>
            <w:proofErr w:type="spellStart"/>
            <w:r w:rsidRPr="00F05197">
              <w:rPr>
                <w:rFonts w:ascii="Arial" w:eastAsia="Arial" w:hAnsi="Arial" w:cs="Arial"/>
                <w:sz w:val="20"/>
                <w:szCs w:val="20"/>
              </w:rPr>
              <w:t>pps</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ppsm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ppsx</w:t>
            </w:r>
            <w:proofErr w:type="spellEnd"/>
            <w:r w:rsidRPr="00F05197">
              <w:rPr>
                <w:rFonts w:ascii="Arial" w:eastAsia="Arial" w:hAnsi="Arial" w:cs="Arial"/>
                <w:sz w:val="20"/>
                <w:szCs w:val="20"/>
              </w:rPr>
              <w:t>, .ppt, .</w:t>
            </w:r>
            <w:proofErr w:type="spellStart"/>
            <w:r w:rsidRPr="00F05197">
              <w:rPr>
                <w:rFonts w:ascii="Arial" w:eastAsia="Arial" w:hAnsi="Arial" w:cs="Arial"/>
                <w:sz w:val="20"/>
                <w:szCs w:val="20"/>
              </w:rPr>
              <w:t>pptm</w:t>
            </w:r>
            <w:proofErr w:type="spellEnd"/>
            <w:r w:rsidRPr="00F05197">
              <w:rPr>
                <w:rFonts w:ascii="Arial" w:eastAsia="Arial" w:hAnsi="Arial" w:cs="Arial"/>
                <w:sz w:val="20"/>
                <w:szCs w:val="20"/>
              </w:rPr>
              <w:t>, .pptx, .prn, .</w:t>
            </w:r>
            <w:proofErr w:type="spellStart"/>
            <w:r w:rsidRPr="00F05197">
              <w:rPr>
                <w:rFonts w:ascii="Arial" w:eastAsia="Arial" w:hAnsi="Arial" w:cs="Arial"/>
                <w:sz w:val="20"/>
                <w:szCs w:val="20"/>
              </w:rPr>
              <w:t>psd</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psw</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pxl</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ras</w:t>
            </w:r>
            <w:proofErr w:type="spellEnd"/>
            <w:r w:rsidRPr="00F05197">
              <w:rPr>
                <w:rFonts w:ascii="Arial" w:eastAsia="Arial" w:hAnsi="Arial" w:cs="Arial"/>
                <w:sz w:val="20"/>
                <w:szCs w:val="20"/>
              </w:rPr>
              <w:t>, .rtf, .</w:t>
            </w:r>
            <w:proofErr w:type="spellStart"/>
            <w:r w:rsidRPr="00F05197">
              <w:rPr>
                <w:rFonts w:ascii="Arial" w:eastAsia="Arial" w:hAnsi="Arial" w:cs="Arial"/>
                <w:sz w:val="20"/>
                <w:szCs w:val="20"/>
              </w:rPr>
              <w:t>rtp</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sda</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sdc</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sdd</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sdp</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sdw</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sgf</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sgv</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sgl</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sld</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slk</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smf</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sql</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stc</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sti</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stw</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svg</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svm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sxc</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sxg</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sxi</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sxm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sxw</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tga</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tif</w:t>
            </w:r>
            <w:proofErr w:type="spellEnd"/>
            <w:r w:rsidRPr="00F05197">
              <w:rPr>
                <w:rFonts w:ascii="Arial" w:eastAsia="Arial" w:hAnsi="Arial" w:cs="Arial"/>
                <w:sz w:val="20"/>
                <w:szCs w:val="20"/>
              </w:rPr>
              <w:t>, .tiff, .txt, .</w:t>
            </w:r>
            <w:proofErr w:type="spellStart"/>
            <w:r w:rsidRPr="00F05197">
              <w:rPr>
                <w:rFonts w:ascii="Arial" w:eastAsia="Arial" w:hAnsi="Arial" w:cs="Arial"/>
                <w:sz w:val="20"/>
                <w:szCs w:val="20"/>
              </w:rPr>
              <w:t>uof</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uop</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uos</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uot</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vdw</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vor</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vsd</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vsdm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vsdx</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vss</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vssm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vssx</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vst</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vstm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vstx</w:t>
            </w:r>
            <w:proofErr w:type="spellEnd"/>
            <w:r w:rsidRPr="00F05197">
              <w:rPr>
                <w:rFonts w:ascii="Arial" w:eastAsia="Arial" w:hAnsi="Arial" w:cs="Arial"/>
                <w:sz w:val="20"/>
                <w:szCs w:val="20"/>
              </w:rPr>
              <w:t>, .wb2, .</w:t>
            </w:r>
            <w:proofErr w:type="spellStart"/>
            <w:r w:rsidRPr="00F05197">
              <w:rPr>
                <w:rFonts w:ascii="Arial" w:eastAsia="Arial" w:hAnsi="Arial" w:cs="Arial"/>
                <w:sz w:val="20"/>
                <w:szCs w:val="20"/>
              </w:rPr>
              <w:t>wdesk</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wks</w:t>
            </w:r>
            <w:proofErr w:type="spellEnd"/>
            <w:r w:rsidRPr="00F05197">
              <w:rPr>
                <w:rFonts w:ascii="Arial" w:eastAsia="Arial" w:hAnsi="Arial" w:cs="Arial"/>
                <w:sz w:val="20"/>
                <w:szCs w:val="20"/>
              </w:rPr>
              <w:t>, .wk1, .</w:t>
            </w:r>
            <w:proofErr w:type="spellStart"/>
            <w:r w:rsidRPr="00F05197">
              <w:rPr>
                <w:rFonts w:ascii="Arial" w:eastAsia="Arial" w:hAnsi="Arial" w:cs="Arial"/>
                <w:sz w:val="20"/>
                <w:szCs w:val="20"/>
              </w:rPr>
              <w:t>wmf</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wmv</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wpd</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wps</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xbm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xla</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xlam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xls</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xlsb</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xlsm</w:t>
            </w:r>
            <w:proofErr w:type="spellEnd"/>
            <w:r w:rsidRPr="00F05197">
              <w:rPr>
                <w:rFonts w:ascii="Arial" w:eastAsia="Arial" w:hAnsi="Arial" w:cs="Arial"/>
                <w:sz w:val="20"/>
                <w:szCs w:val="20"/>
              </w:rPr>
              <w:t>, .xlsx, .</w:t>
            </w:r>
            <w:proofErr w:type="spellStart"/>
            <w:r w:rsidRPr="00F05197">
              <w:rPr>
                <w:rFonts w:ascii="Arial" w:eastAsia="Arial" w:hAnsi="Arial" w:cs="Arial"/>
                <w:sz w:val="20"/>
                <w:szCs w:val="20"/>
              </w:rPr>
              <w:t>xlt</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xltm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xltx</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xlw</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xpm</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xps</w:t>
            </w:r>
            <w:proofErr w:type="spellEnd"/>
            <w:r w:rsidRPr="00F05197">
              <w:rPr>
                <w:rFonts w:ascii="Arial" w:eastAsia="Arial" w:hAnsi="Arial" w:cs="Arial"/>
                <w:sz w:val="20"/>
                <w:szCs w:val="20"/>
              </w:rPr>
              <w:t>, .</w:t>
            </w:r>
            <w:proofErr w:type="spellStart"/>
            <w:r w:rsidRPr="00F05197">
              <w:rPr>
                <w:rFonts w:ascii="Arial" w:eastAsia="Arial" w:hAnsi="Arial" w:cs="Arial"/>
                <w:sz w:val="20"/>
                <w:szCs w:val="20"/>
              </w:rPr>
              <w:t>xsd</w:t>
            </w:r>
            <w:proofErr w:type="spellEnd"/>
            <w:r w:rsidRPr="00F05197">
              <w:rPr>
                <w:rFonts w:ascii="Arial" w:eastAsia="Arial" w:hAnsi="Arial" w:cs="Arial"/>
                <w:sz w:val="20"/>
                <w:szCs w:val="20"/>
              </w:rPr>
              <w:t>, .123, .602.</w:t>
            </w:r>
          </w:p>
        </w:tc>
      </w:tr>
      <w:tr w:rsidR="00EA4FE6" w:rsidRPr="00F05197" w14:paraId="45BD2689" w14:textId="77777777" w:rsidTr="00542FCF">
        <w:trPr>
          <w:cantSplit/>
          <w:trHeight w:hRule="exact" w:val="1020"/>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27575298"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2.4.1.5</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5C08618A"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Respondent's response regarding scheduling, review, reminders, etc. seemed to dwell on the audit side.  Please confirm the same is true for the internal control side.</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4892E08C" w14:textId="77777777" w:rsidR="00EA4FE6" w:rsidRPr="00F05197" w:rsidRDefault="008A615F">
            <w:pPr>
              <w:keepNext/>
              <w:spacing w:before="48" w:after="30"/>
              <w:rPr>
                <w:rFonts w:ascii="Arial" w:hAnsi="Arial" w:cs="Arial"/>
                <w:sz w:val="20"/>
                <w:szCs w:val="20"/>
              </w:rPr>
            </w:pPr>
            <w:r w:rsidRPr="00F05197">
              <w:rPr>
                <w:rFonts w:ascii="Arial" w:eastAsia="Arial" w:hAnsi="Arial" w:cs="Arial"/>
                <w:color w:val="000000"/>
                <w:sz w:val="20"/>
                <w:szCs w:val="20"/>
              </w:rPr>
              <w:t xml:space="preserve">Yes, the Workiva Platform offers the same value-add features and functions related to scheduling, review and approval workflow, and automated reminders in the Internal Controls Management solution. </w:t>
            </w:r>
          </w:p>
        </w:tc>
      </w:tr>
      <w:tr w:rsidR="00EA4FE6" w:rsidRPr="00F05197" w14:paraId="03215919" w14:textId="77777777" w:rsidTr="002C1225">
        <w:trPr>
          <w:cantSplit/>
          <w:trHeight w:hRule="exact" w:val="1832"/>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047C4125"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lastRenderedPageBreak/>
              <w:t>2.4.3.5</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2DDBE715"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Is the FedRAMP Moderate cloud for government?  If not, are there plans to have access to GCC?  When?</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683CE4C5" w14:textId="77777777" w:rsidR="00EA4FE6" w:rsidRPr="00F05197" w:rsidRDefault="008A615F">
            <w:pPr>
              <w:keepNext/>
              <w:spacing w:before="48" w:after="30"/>
              <w:rPr>
                <w:rFonts w:ascii="Arial" w:hAnsi="Arial" w:cs="Arial"/>
                <w:sz w:val="20"/>
                <w:szCs w:val="20"/>
              </w:rPr>
            </w:pPr>
            <w:r w:rsidRPr="00F05197">
              <w:rPr>
                <w:rFonts w:ascii="Arial" w:eastAsia="Arial" w:hAnsi="Arial" w:cs="Arial"/>
                <w:color w:val="000000"/>
                <w:sz w:val="20"/>
                <w:szCs w:val="20"/>
              </w:rPr>
              <w:t xml:space="preserve">Workiva uses the AWS East/West and Google Cloud Platform (GCP). These AWS and GCP environments are FedRAMP authorized at the moderate level. In addition, the Workiva Platform is FedRAMP authorized at the moderate level and authorized to operate by the Department of Justice, Department of Energy, Department of Housing and Urban Development, General Services Administration, National Science Foundation, and Tennessee Valley Authority. </w:t>
            </w:r>
            <w:proofErr w:type="gramStart"/>
            <w:r w:rsidRPr="00F05197">
              <w:rPr>
                <w:rFonts w:ascii="Arial" w:eastAsia="Arial" w:hAnsi="Arial" w:cs="Arial"/>
                <w:color w:val="000000"/>
                <w:sz w:val="20"/>
                <w:szCs w:val="20"/>
              </w:rPr>
              <w:t>At this time</w:t>
            </w:r>
            <w:proofErr w:type="gramEnd"/>
            <w:r w:rsidRPr="00F05197">
              <w:rPr>
                <w:rFonts w:ascii="Arial" w:eastAsia="Arial" w:hAnsi="Arial" w:cs="Arial"/>
                <w:color w:val="000000"/>
                <w:sz w:val="20"/>
                <w:szCs w:val="20"/>
              </w:rPr>
              <w:t>, there are no plans to deploy to Microsoft cloud environments or AWS GovCloud.</w:t>
            </w:r>
          </w:p>
        </w:tc>
      </w:tr>
      <w:tr w:rsidR="00EA4FE6" w:rsidRPr="00F05197" w14:paraId="7497C181" w14:textId="77777777" w:rsidTr="00542FCF">
        <w:trPr>
          <w:cantSplit/>
          <w:trHeight w:hRule="exact" w:val="1517"/>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3163CD67"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2.4.3.6</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5CCBC089"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 xml:space="preserve">Due to requirements from the IRS, we are required to respond to security incidents within 24 hours.  Workiva's incident metric is 48 hours.  There is no wiggle room.  Can Workiva commit to a </w:t>
            </w:r>
            <w:proofErr w:type="gramStart"/>
            <w:r w:rsidRPr="00F05197">
              <w:rPr>
                <w:rFonts w:ascii="Arial" w:eastAsia="Calibri" w:hAnsi="Arial" w:cs="Arial"/>
                <w:color w:val="000000"/>
                <w:sz w:val="20"/>
                <w:szCs w:val="20"/>
              </w:rPr>
              <w:t>24 hour</w:t>
            </w:r>
            <w:proofErr w:type="gramEnd"/>
            <w:r w:rsidRPr="00F05197">
              <w:rPr>
                <w:rFonts w:ascii="Arial" w:eastAsia="Calibri" w:hAnsi="Arial" w:cs="Arial"/>
                <w:color w:val="000000"/>
                <w:sz w:val="20"/>
                <w:szCs w:val="20"/>
              </w:rPr>
              <w:t xml:space="preserve"> response time?</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0FA629A1" w14:textId="77777777" w:rsidR="00EA4FE6" w:rsidRPr="00F05197" w:rsidRDefault="008A615F">
            <w:pPr>
              <w:keepNext/>
              <w:spacing w:before="48" w:after="30"/>
              <w:rPr>
                <w:rFonts w:ascii="Arial" w:hAnsi="Arial" w:cs="Arial"/>
                <w:sz w:val="20"/>
                <w:szCs w:val="20"/>
              </w:rPr>
            </w:pPr>
            <w:r w:rsidRPr="00F05197">
              <w:rPr>
                <w:rFonts w:ascii="Arial" w:eastAsia="Arial" w:hAnsi="Arial" w:cs="Arial"/>
                <w:color w:val="000000"/>
                <w:sz w:val="20"/>
                <w:szCs w:val="20"/>
              </w:rPr>
              <w:t>Workiva can commit to a 24-hour response time.</w:t>
            </w:r>
          </w:p>
        </w:tc>
      </w:tr>
      <w:tr w:rsidR="00EA4FE6" w:rsidRPr="00F05197" w14:paraId="11A0794A" w14:textId="77777777" w:rsidTr="002C1225">
        <w:trPr>
          <w:cantSplit/>
          <w:trHeight w:hRule="exact" w:val="2273"/>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7CE75EA8"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General Question 1</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53274958"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 xml:space="preserve">How does the Respondent ensure functionality between its product and Office 365 </w:t>
            </w:r>
            <w:proofErr w:type="gramStart"/>
            <w:r w:rsidRPr="00F05197">
              <w:rPr>
                <w:rFonts w:ascii="Arial" w:eastAsia="Calibri" w:hAnsi="Arial" w:cs="Arial"/>
                <w:color w:val="000000"/>
                <w:sz w:val="20"/>
                <w:szCs w:val="20"/>
              </w:rPr>
              <w:t>with regard to</w:t>
            </w:r>
            <w:proofErr w:type="gramEnd"/>
            <w:r w:rsidRPr="00F05197">
              <w:rPr>
                <w:rFonts w:ascii="Arial" w:eastAsia="Calibri" w:hAnsi="Arial" w:cs="Arial"/>
                <w:color w:val="000000"/>
                <w:sz w:val="20"/>
                <w:szCs w:val="20"/>
              </w:rPr>
              <w:t xml:space="preserve"> patches?  How does it ensure it is still compatible and in sync with Office 365?</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2535879E" w14:textId="77777777" w:rsidR="00EA4FE6" w:rsidRPr="00F05197" w:rsidRDefault="008A615F" w:rsidP="009A57EC">
            <w:pPr>
              <w:keepNext/>
              <w:spacing w:before="48" w:after="30"/>
              <w:rPr>
                <w:rFonts w:ascii="Arial" w:hAnsi="Arial" w:cs="Arial"/>
                <w:sz w:val="20"/>
                <w:szCs w:val="20"/>
              </w:rPr>
            </w:pPr>
            <w:r w:rsidRPr="00F05197">
              <w:rPr>
                <w:rFonts w:ascii="Arial" w:eastAsia="Arial" w:hAnsi="Arial" w:cs="Arial"/>
                <w:color w:val="000000"/>
                <w:sz w:val="20"/>
                <w:szCs w:val="20"/>
              </w:rPr>
              <w:t>Workiva does not control nor have any responsibility for patches or functionality updates to Microsoft products. The integration with Office 365 simply provides users with the option to review and modify key supporting documentation in Office 365 via a link in the Work</w:t>
            </w:r>
            <w:r w:rsidR="009A57EC" w:rsidRPr="00F05197">
              <w:rPr>
                <w:rFonts w:ascii="Arial" w:eastAsia="Arial" w:hAnsi="Arial" w:cs="Arial"/>
                <w:color w:val="000000"/>
                <w:sz w:val="20"/>
                <w:szCs w:val="20"/>
              </w:rPr>
              <w:t>iva Platform. The link takes</w:t>
            </w:r>
            <w:r w:rsidRPr="00F05197">
              <w:rPr>
                <w:rFonts w:ascii="Arial" w:eastAsia="Arial" w:hAnsi="Arial" w:cs="Arial"/>
                <w:color w:val="000000"/>
                <w:sz w:val="20"/>
                <w:szCs w:val="20"/>
              </w:rPr>
              <w:t xml:space="preserve"> user</w:t>
            </w:r>
            <w:r w:rsidR="009A57EC" w:rsidRPr="00F05197">
              <w:rPr>
                <w:rFonts w:ascii="Arial" w:eastAsia="Arial" w:hAnsi="Arial" w:cs="Arial"/>
                <w:color w:val="000000"/>
                <w:sz w:val="20"/>
                <w:szCs w:val="20"/>
              </w:rPr>
              <w:t>s</w:t>
            </w:r>
            <w:r w:rsidRPr="00F05197">
              <w:rPr>
                <w:rFonts w:ascii="Arial" w:eastAsia="Arial" w:hAnsi="Arial" w:cs="Arial"/>
                <w:color w:val="000000"/>
                <w:sz w:val="20"/>
                <w:szCs w:val="20"/>
              </w:rPr>
              <w:t xml:space="preserve"> to the Office 365 environment where </w:t>
            </w:r>
            <w:r w:rsidR="009A57EC" w:rsidRPr="00F05197">
              <w:rPr>
                <w:rFonts w:ascii="Arial" w:eastAsia="Arial" w:hAnsi="Arial" w:cs="Arial"/>
                <w:color w:val="000000"/>
                <w:sz w:val="20"/>
                <w:szCs w:val="20"/>
              </w:rPr>
              <w:t>they</w:t>
            </w:r>
            <w:r w:rsidRPr="00F05197">
              <w:rPr>
                <w:rFonts w:ascii="Arial" w:eastAsia="Arial" w:hAnsi="Arial" w:cs="Arial"/>
                <w:color w:val="000000"/>
                <w:sz w:val="20"/>
                <w:szCs w:val="20"/>
              </w:rPr>
              <w:t xml:space="preserve"> can log in with </w:t>
            </w:r>
            <w:r w:rsidR="009A57EC" w:rsidRPr="00F05197">
              <w:rPr>
                <w:rFonts w:ascii="Arial" w:eastAsia="Arial" w:hAnsi="Arial" w:cs="Arial"/>
                <w:color w:val="000000"/>
                <w:sz w:val="20"/>
                <w:szCs w:val="20"/>
              </w:rPr>
              <w:t>their</w:t>
            </w:r>
            <w:r w:rsidRPr="00F05197">
              <w:rPr>
                <w:rFonts w:ascii="Arial" w:eastAsia="Arial" w:hAnsi="Arial" w:cs="Arial"/>
                <w:color w:val="000000"/>
                <w:sz w:val="20"/>
                <w:szCs w:val="20"/>
              </w:rPr>
              <w:t xml:space="preserve"> username and password, and update spreadsheets and word documents as necessary. The updates are saved accordingly, and </w:t>
            </w:r>
            <w:proofErr w:type="gramStart"/>
            <w:r w:rsidRPr="00F05197">
              <w:rPr>
                <w:rFonts w:ascii="Arial" w:eastAsia="Arial" w:hAnsi="Arial" w:cs="Arial"/>
                <w:color w:val="000000"/>
                <w:sz w:val="20"/>
                <w:szCs w:val="20"/>
              </w:rPr>
              <w:t>as long as</w:t>
            </w:r>
            <w:proofErr w:type="gramEnd"/>
            <w:r w:rsidRPr="00F05197">
              <w:rPr>
                <w:rFonts w:ascii="Arial" w:eastAsia="Arial" w:hAnsi="Arial" w:cs="Arial"/>
                <w:color w:val="000000"/>
                <w:sz w:val="20"/>
                <w:szCs w:val="20"/>
              </w:rPr>
              <w:t xml:space="preserve"> there is i</w:t>
            </w:r>
            <w:r w:rsidR="009A57EC" w:rsidRPr="00F05197">
              <w:rPr>
                <w:rFonts w:ascii="Arial" w:eastAsia="Arial" w:hAnsi="Arial" w:cs="Arial"/>
                <w:color w:val="000000"/>
                <w:sz w:val="20"/>
                <w:szCs w:val="20"/>
              </w:rPr>
              <w:t>nternet access. It is the DOR’s</w:t>
            </w:r>
            <w:r w:rsidRPr="00F05197">
              <w:rPr>
                <w:rFonts w:ascii="Arial" w:eastAsia="Arial" w:hAnsi="Arial" w:cs="Arial"/>
                <w:color w:val="000000"/>
                <w:sz w:val="20"/>
                <w:szCs w:val="20"/>
              </w:rPr>
              <w:t xml:space="preserve"> license with Microsoft that gives </w:t>
            </w:r>
            <w:r w:rsidR="009A57EC" w:rsidRPr="00F05197">
              <w:rPr>
                <w:rFonts w:ascii="Arial" w:eastAsia="Arial" w:hAnsi="Arial" w:cs="Arial"/>
                <w:color w:val="000000"/>
                <w:sz w:val="20"/>
                <w:szCs w:val="20"/>
              </w:rPr>
              <w:t>DOR users</w:t>
            </w:r>
            <w:r w:rsidRPr="00F05197">
              <w:rPr>
                <w:rFonts w:ascii="Arial" w:eastAsia="Arial" w:hAnsi="Arial" w:cs="Arial"/>
                <w:color w:val="000000"/>
                <w:sz w:val="20"/>
                <w:szCs w:val="20"/>
              </w:rPr>
              <w:t xml:space="preserve"> access to the Office 365 environment</w:t>
            </w:r>
            <w:r w:rsidR="009A57EC" w:rsidRPr="00F05197">
              <w:rPr>
                <w:rFonts w:ascii="Arial" w:eastAsia="Arial" w:hAnsi="Arial" w:cs="Arial"/>
                <w:color w:val="000000"/>
                <w:sz w:val="20"/>
                <w:szCs w:val="20"/>
              </w:rPr>
              <w:t xml:space="preserve">. Any issues the DOR </w:t>
            </w:r>
            <w:r w:rsidRPr="00F05197">
              <w:rPr>
                <w:rFonts w:ascii="Arial" w:eastAsia="Arial" w:hAnsi="Arial" w:cs="Arial"/>
                <w:color w:val="000000"/>
                <w:sz w:val="20"/>
                <w:szCs w:val="20"/>
              </w:rPr>
              <w:t>experience</w:t>
            </w:r>
            <w:r w:rsidR="009A57EC" w:rsidRPr="00F05197">
              <w:rPr>
                <w:rFonts w:ascii="Arial" w:eastAsia="Arial" w:hAnsi="Arial" w:cs="Arial"/>
                <w:color w:val="000000"/>
                <w:sz w:val="20"/>
                <w:szCs w:val="20"/>
              </w:rPr>
              <w:t>s</w:t>
            </w:r>
            <w:r w:rsidRPr="00F05197">
              <w:rPr>
                <w:rFonts w:ascii="Arial" w:eastAsia="Arial" w:hAnsi="Arial" w:cs="Arial"/>
                <w:color w:val="000000"/>
                <w:sz w:val="20"/>
                <w:szCs w:val="20"/>
              </w:rPr>
              <w:t xml:space="preserve"> in the Office 365 environment should be directed to Microsoft.</w:t>
            </w:r>
          </w:p>
        </w:tc>
      </w:tr>
      <w:tr w:rsidR="00EA4FE6" w:rsidRPr="00F05197" w14:paraId="5705ECC4" w14:textId="77777777" w:rsidTr="00542FCF">
        <w:trPr>
          <w:cantSplit/>
          <w:trHeight w:hRule="exact" w:val="3045"/>
        </w:trPr>
        <w:tc>
          <w:tcPr>
            <w:tcW w:w="2003" w:type="dxa"/>
            <w:tcBorders>
              <w:top w:val="single" w:sz="2" w:space="0" w:color="000000"/>
              <w:left w:val="single" w:sz="2" w:space="0" w:color="000000"/>
              <w:bottom w:val="single" w:sz="2" w:space="0" w:color="000000"/>
              <w:right w:val="nil"/>
            </w:tcBorders>
            <w:shd w:val="clear" w:color="auto" w:fill="FFFF00"/>
            <w:tcMar>
              <w:top w:w="0" w:type="dxa"/>
              <w:left w:w="53" w:type="dxa"/>
              <w:bottom w:w="0" w:type="dxa"/>
              <w:right w:w="53" w:type="dxa"/>
            </w:tcMar>
          </w:tcPr>
          <w:p w14:paraId="5459CAE6"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General Question 2</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13C9AA2E"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Please provide a copy of Respondent's Disaster Recovery and Business Continuity plans.</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4FD91BA2" w14:textId="21450EDA" w:rsidR="00EA4FE6" w:rsidRPr="002C1225" w:rsidRDefault="008A615F" w:rsidP="002C1225">
            <w:pPr>
              <w:keepNext/>
              <w:spacing w:before="48"/>
              <w:rPr>
                <w:rFonts w:ascii="Arial" w:eastAsia="Arial" w:hAnsi="Arial" w:cs="Arial"/>
                <w:color w:val="3051F2"/>
                <w:sz w:val="20"/>
                <w:szCs w:val="20"/>
              </w:rPr>
            </w:pPr>
            <w:r w:rsidRPr="00F05197">
              <w:rPr>
                <w:rFonts w:ascii="Arial" w:eastAsia="Arial" w:hAnsi="Arial" w:cs="Arial"/>
                <w:color w:val="3051F2"/>
                <w:sz w:val="20"/>
                <w:szCs w:val="20"/>
              </w:rPr>
              <w:t xml:space="preserve">We can provide the Business Continuity and Disaster Recovery Executive Summary and Business Continuity and Disaster Recovery Testing Results. Both are included in the Security Pack that </w:t>
            </w:r>
            <w:r w:rsidR="000178A4" w:rsidRPr="00F05197">
              <w:rPr>
                <w:rFonts w:ascii="Arial" w:eastAsia="Arial" w:hAnsi="Arial" w:cs="Arial"/>
                <w:color w:val="3051F2"/>
                <w:sz w:val="20"/>
                <w:szCs w:val="20"/>
              </w:rPr>
              <w:t>Workiva</w:t>
            </w:r>
            <w:r w:rsidRPr="00F05197">
              <w:rPr>
                <w:rFonts w:ascii="Arial" w:eastAsia="Arial" w:hAnsi="Arial" w:cs="Arial"/>
                <w:color w:val="3051F2"/>
                <w:sz w:val="20"/>
                <w:szCs w:val="20"/>
              </w:rPr>
              <w:t xml:space="preserve"> sent in March</w:t>
            </w:r>
            <w:r w:rsidR="00F05197" w:rsidRPr="00F05197">
              <w:rPr>
                <w:rFonts w:ascii="Arial" w:eastAsia="Arial" w:hAnsi="Arial" w:cs="Arial"/>
                <w:color w:val="3051F2"/>
                <w:sz w:val="20"/>
                <w:szCs w:val="20"/>
              </w:rPr>
              <w:t xml:space="preserve"> 2021</w:t>
            </w:r>
            <w:r w:rsidRPr="00F05197">
              <w:rPr>
                <w:rFonts w:ascii="Arial" w:eastAsia="Arial" w:hAnsi="Arial" w:cs="Arial"/>
                <w:color w:val="3051F2"/>
                <w:sz w:val="20"/>
                <w:szCs w:val="20"/>
              </w:rPr>
              <w:t xml:space="preserve">. </w:t>
            </w:r>
            <w:r w:rsidR="009E13CE">
              <w:rPr>
                <w:rFonts w:ascii="Arial" w:eastAsia="Arial" w:hAnsi="Arial" w:cs="Arial"/>
                <w:color w:val="3051F2"/>
                <w:sz w:val="20"/>
                <w:szCs w:val="20"/>
              </w:rPr>
              <w:t>These</w:t>
            </w:r>
            <w:r w:rsidRPr="00F05197">
              <w:rPr>
                <w:rFonts w:ascii="Arial" w:eastAsia="Arial" w:hAnsi="Arial" w:cs="Arial"/>
                <w:color w:val="3051F2"/>
                <w:sz w:val="20"/>
                <w:szCs w:val="20"/>
              </w:rPr>
              <w:t xml:space="preserve"> documents require</w:t>
            </w:r>
            <w:r w:rsidR="009E13CE">
              <w:rPr>
                <w:rFonts w:ascii="Arial" w:eastAsia="Arial" w:hAnsi="Arial" w:cs="Arial"/>
                <w:color w:val="3051F2"/>
                <w:sz w:val="20"/>
                <w:szCs w:val="20"/>
              </w:rPr>
              <w:t xml:space="preserve"> </w:t>
            </w:r>
            <w:r w:rsidRPr="00F05197">
              <w:rPr>
                <w:rFonts w:ascii="Arial" w:eastAsia="Arial" w:hAnsi="Arial" w:cs="Arial"/>
                <w:color w:val="3051F2"/>
                <w:sz w:val="20"/>
                <w:szCs w:val="20"/>
              </w:rPr>
              <w:t>a</w:t>
            </w:r>
            <w:r w:rsidR="009E13CE">
              <w:rPr>
                <w:rFonts w:ascii="Arial" w:eastAsia="Arial" w:hAnsi="Arial" w:cs="Arial"/>
                <w:color w:val="3051F2"/>
                <w:sz w:val="20"/>
                <w:szCs w:val="20"/>
              </w:rPr>
              <w:t>n</w:t>
            </w:r>
            <w:r w:rsidRPr="00F05197">
              <w:rPr>
                <w:rFonts w:ascii="Arial" w:eastAsia="Arial" w:hAnsi="Arial" w:cs="Arial"/>
                <w:color w:val="3051F2"/>
                <w:sz w:val="20"/>
                <w:szCs w:val="20"/>
              </w:rPr>
              <w:t xml:space="preserve"> NDA</w:t>
            </w:r>
            <w:r w:rsidR="009E13CE">
              <w:rPr>
                <w:rFonts w:ascii="Arial" w:eastAsia="Arial" w:hAnsi="Arial" w:cs="Arial"/>
                <w:color w:val="3051F2"/>
                <w:sz w:val="20"/>
                <w:szCs w:val="20"/>
              </w:rPr>
              <w:t xml:space="preserve"> be signed and returned</w:t>
            </w:r>
            <w:r w:rsidRPr="00F05197">
              <w:rPr>
                <w:rFonts w:ascii="Arial" w:eastAsia="Arial" w:hAnsi="Arial" w:cs="Arial"/>
                <w:color w:val="3051F2"/>
                <w:sz w:val="20"/>
                <w:szCs w:val="20"/>
              </w:rPr>
              <w:t>.</w:t>
            </w:r>
          </w:p>
        </w:tc>
      </w:tr>
      <w:tr w:rsidR="00EA4FE6" w:rsidRPr="00F05197" w14:paraId="73BC65CF" w14:textId="77777777" w:rsidTr="002C1225">
        <w:trPr>
          <w:cantSplit/>
          <w:trHeight w:hRule="exact" w:val="2552"/>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19591005"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lastRenderedPageBreak/>
              <w:t>General Question 3</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08C84A1D"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What is the change release management cycle for updates and enhancements?</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06CFFA27" w14:textId="77777777" w:rsidR="00EA4FE6" w:rsidRPr="00F05197" w:rsidRDefault="008A615F">
            <w:pPr>
              <w:keepNext/>
              <w:spacing w:before="48" w:after="30"/>
              <w:rPr>
                <w:rFonts w:ascii="Arial" w:hAnsi="Arial" w:cs="Arial"/>
                <w:sz w:val="20"/>
                <w:szCs w:val="20"/>
              </w:rPr>
            </w:pPr>
            <w:r w:rsidRPr="00F05197">
              <w:rPr>
                <w:rFonts w:ascii="Arial" w:eastAsia="Arial" w:hAnsi="Arial" w:cs="Arial"/>
                <w:color w:val="000000"/>
                <w:sz w:val="20"/>
                <w:szCs w:val="20"/>
              </w:rPr>
              <w:t>Workiva Platform updates and enhancements are released regularly (e.g., daily, weekly). Workiva uses an Agile SDLC methodology so there are no maintenance windows with the application. Workiva pushes minor releases to the platform as needed. Updates to Workiva's Platform are released into production by Release Management and Operations Engineering on a regular basis as work is completed. A proprietary, automated system checks that any code is accepted into the master code repository; has received all required unit and integration tests, code reviews, and security reviews. Members of Product Development, Information Technology, Quality Assurance, and InfoSec with knowledge and training in software and IT security form a committee to review code which is responsible for application security and data integrity.</w:t>
            </w:r>
          </w:p>
        </w:tc>
      </w:tr>
      <w:tr w:rsidR="00EA4FE6" w:rsidRPr="00F05197" w14:paraId="167DE591" w14:textId="77777777" w:rsidTr="002C1225">
        <w:trPr>
          <w:cantSplit/>
          <w:trHeight w:hRule="exact" w:val="932"/>
        </w:trPr>
        <w:tc>
          <w:tcPr>
            <w:tcW w:w="2003" w:type="dxa"/>
            <w:tcBorders>
              <w:top w:val="single" w:sz="2" w:space="0" w:color="000000"/>
              <w:left w:val="single" w:sz="2" w:space="0" w:color="000000"/>
              <w:bottom w:val="single" w:sz="2" w:space="0" w:color="000000"/>
              <w:right w:val="nil"/>
            </w:tcBorders>
            <w:shd w:val="clear" w:color="auto" w:fill="FFFF00"/>
            <w:tcMar>
              <w:top w:w="0" w:type="dxa"/>
              <w:left w:w="53" w:type="dxa"/>
              <w:bottom w:w="0" w:type="dxa"/>
              <w:right w:w="53" w:type="dxa"/>
            </w:tcMar>
          </w:tcPr>
          <w:p w14:paraId="1D9AA685"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General Question 4</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50F2FA95"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Please provide a copy of Respondent's System Security Plan.</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39809FC4" w14:textId="584CB87E" w:rsidR="002C1225" w:rsidRPr="002C1225" w:rsidRDefault="008A615F" w:rsidP="002C1225">
            <w:pPr>
              <w:keepNext/>
              <w:spacing w:before="48"/>
              <w:rPr>
                <w:rFonts w:ascii="Arial" w:eastAsia="Arial" w:hAnsi="Arial" w:cs="Arial"/>
                <w:color w:val="3051F2"/>
                <w:sz w:val="20"/>
                <w:szCs w:val="20"/>
              </w:rPr>
            </w:pPr>
            <w:r w:rsidRPr="00F05197">
              <w:rPr>
                <w:rFonts w:ascii="Arial" w:eastAsia="Arial" w:hAnsi="Arial" w:cs="Arial"/>
                <w:color w:val="3051F2"/>
                <w:sz w:val="20"/>
                <w:szCs w:val="20"/>
              </w:rPr>
              <w:t>We can provide a copy of the System Security Plan (SSP). It requires a</w:t>
            </w:r>
            <w:r w:rsidR="004A7DB6" w:rsidRPr="00F05197">
              <w:rPr>
                <w:rFonts w:ascii="Arial" w:eastAsia="Arial" w:hAnsi="Arial" w:cs="Arial"/>
                <w:color w:val="3051F2"/>
                <w:sz w:val="20"/>
                <w:szCs w:val="20"/>
              </w:rPr>
              <w:t>n</w:t>
            </w:r>
            <w:r w:rsidRPr="00F05197">
              <w:rPr>
                <w:rFonts w:ascii="Arial" w:eastAsia="Arial" w:hAnsi="Arial" w:cs="Arial"/>
                <w:color w:val="3051F2"/>
                <w:sz w:val="20"/>
                <w:szCs w:val="20"/>
              </w:rPr>
              <w:t xml:space="preserve"> NDA</w:t>
            </w:r>
            <w:r w:rsidR="009E13CE">
              <w:rPr>
                <w:rFonts w:ascii="Arial" w:eastAsia="Arial" w:hAnsi="Arial" w:cs="Arial"/>
                <w:color w:val="3051F2"/>
                <w:sz w:val="20"/>
                <w:szCs w:val="20"/>
              </w:rPr>
              <w:t xml:space="preserve"> be signed and returned</w:t>
            </w:r>
            <w:r w:rsidRPr="00F05197">
              <w:rPr>
                <w:rFonts w:ascii="Arial" w:eastAsia="Arial" w:hAnsi="Arial" w:cs="Arial"/>
                <w:color w:val="3051F2"/>
                <w:sz w:val="20"/>
                <w:szCs w:val="20"/>
              </w:rPr>
              <w:t xml:space="preserve">. The SSP was sent to Philip </w:t>
            </w:r>
            <w:proofErr w:type="spellStart"/>
            <w:r w:rsidRPr="00F05197">
              <w:rPr>
                <w:rFonts w:ascii="Arial" w:eastAsia="Arial" w:hAnsi="Arial" w:cs="Arial"/>
                <w:color w:val="3051F2"/>
                <w:sz w:val="20"/>
                <w:szCs w:val="20"/>
              </w:rPr>
              <w:t>Dimon</w:t>
            </w:r>
            <w:proofErr w:type="spellEnd"/>
            <w:r w:rsidRPr="00F05197">
              <w:rPr>
                <w:rFonts w:ascii="Arial" w:eastAsia="Arial" w:hAnsi="Arial" w:cs="Arial"/>
                <w:color w:val="3051F2"/>
                <w:sz w:val="20"/>
                <w:szCs w:val="20"/>
              </w:rPr>
              <w:t xml:space="preserve">, John Hightower, and Cameron </w:t>
            </w:r>
            <w:proofErr w:type="spellStart"/>
            <w:r w:rsidRPr="00F05197">
              <w:rPr>
                <w:rFonts w:ascii="Arial" w:eastAsia="Arial" w:hAnsi="Arial" w:cs="Arial"/>
                <w:color w:val="3051F2"/>
                <w:sz w:val="20"/>
                <w:szCs w:val="20"/>
              </w:rPr>
              <w:t>Loepker</w:t>
            </w:r>
            <w:proofErr w:type="spellEnd"/>
            <w:r w:rsidRPr="00F05197">
              <w:rPr>
                <w:rFonts w:ascii="Arial" w:eastAsia="Arial" w:hAnsi="Arial" w:cs="Arial"/>
                <w:color w:val="3051F2"/>
                <w:sz w:val="20"/>
                <w:szCs w:val="20"/>
              </w:rPr>
              <w:t xml:space="preserve"> on March 2, 2021</w:t>
            </w:r>
            <w:r w:rsidR="002C1225">
              <w:rPr>
                <w:rFonts w:ascii="Arial" w:eastAsia="Arial" w:hAnsi="Arial" w:cs="Arial"/>
                <w:color w:val="3051F2"/>
                <w:sz w:val="20"/>
                <w:szCs w:val="20"/>
              </w:rPr>
              <w:t>.</w:t>
            </w:r>
          </w:p>
        </w:tc>
      </w:tr>
      <w:tr w:rsidR="00EA4FE6" w:rsidRPr="00F05197" w14:paraId="77FDFDD9" w14:textId="77777777" w:rsidTr="002C1225">
        <w:trPr>
          <w:cantSplit/>
          <w:trHeight w:hRule="exact" w:val="1175"/>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76DCAA76"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General Question 5</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0A847951"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Please clarify who occupies the Administrator role?  Is it a Respondent resource or DOR resource?  If a DOR resource, will there be training for that person?</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172EC310" w14:textId="77777777" w:rsidR="00EA4FE6" w:rsidRPr="00F05197" w:rsidRDefault="008A615F">
            <w:pPr>
              <w:keepNext/>
              <w:spacing w:before="48" w:after="30"/>
              <w:rPr>
                <w:rFonts w:ascii="Arial" w:hAnsi="Arial" w:cs="Arial"/>
                <w:sz w:val="20"/>
                <w:szCs w:val="20"/>
              </w:rPr>
            </w:pPr>
            <w:r w:rsidRPr="00F05197">
              <w:rPr>
                <w:rFonts w:ascii="Arial" w:eastAsia="Arial" w:hAnsi="Arial" w:cs="Arial"/>
                <w:color w:val="000000"/>
                <w:sz w:val="20"/>
                <w:szCs w:val="20"/>
              </w:rPr>
              <w:t xml:space="preserve">DOR would act as the Administrators of the DOR Workiva Platform instances (i.e., Audit Management, Internal Controls Management). During implementation, Deloitte provides organization and workspace roles training while Workiva’s Support Team provides on-going help in addition to the standard 24x7 support line. </w:t>
            </w:r>
          </w:p>
        </w:tc>
      </w:tr>
      <w:tr w:rsidR="00EA4FE6" w:rsidRPr="00F05197" w14:paraId="7E91F0CA" w14:textId="77777777" w:rsidTr="002C1225">
        <w:trPr>
          <w:cantSplit/>
          <w:trHeight w:hRule="exact" w:val="1175"/>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66006125"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General Question 6</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379BB743"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How much storage is being provided by the Respondent?</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6BD2519D" w14:textId="77777777" w:rsidR="00EA4FE6" w:rsidRPr="00F05197" w:rsidRDefault="009A57EC">
            <w:pPr>
              <w:keepNext/>
              <w:spacing w:before="48" w:after="30" w:line="257" w:lineRule="auto"/>
              <w:rPr>
                <w:rFonts w:ascii="Arial" w:eastAsia="Adelle Sans" w:hAnsi="Arial" w:cs="Arial"/>
                <w:sz w:val="20"/>
                <w:szCs w:val="20"/>
              </w:rPr>
            </w:pPr>
            <w:r w:rsidRPr="00F05197">
              <w:rPr>
                <w:rFonts w:ascii="Arial" w:eastAsia="Adelle Sans" w:hAnsi="Arial" w:cs="Arial"/>
                <w:sz w:val="20"/>
                <w:szCs w:val="20"/>
              </w:rPr>
              <w:t>The Workiva P</w:t>
            </w:r>
            <w:r w:rsidR="008A615F" w:rsidRPr="00F05197">
              <w:rPr>
                <w:rFonts w:ascii="Arial" w:eastAsia="Adelle Sans" w:hAnsi="Arial" w:cs="Arial"/>
                <w:sz w:val="20"/>
                <w:szCs w:val="20"/>
              </w:rPr>
              <w:t xml:space="preserve">latform is designed to handle significant growth in an elastic manner, leveraging Google and Amazon’s cloud services. There is no specific storage limit.  This capability means the DOR has a highly scalable tool to support large-scale, complex data and files. </w:t>
            </w:r>
          </w:p>
        </w:tc>
      </w:tr>
      <w:tr w:rsidR="00EA4FE6" w:rsidRPr="00F05197" w14:paraId="4D8D469E" w14:textId="77777777" w:rsidTr="00F05197">
        <w:trPr>
          <w:cantSplit/>
          <w:trHeight w:hRule="exact" w:val="1022"/>
        </w:trPr>
        <w:tc>
          <w:tcPr>
            <w:tcW w:w="2003" w:type="dxa"/>
            <w:tcBorders>
              <w:top w:val="single" w:sz="2" w:space="0" w:color="000000"/>
              <w:left w:val="single" w:sz="2" w:space="0" w:color="000000"/>
              <w:bottom w:val="single" w:sz="2" w:space="0" w:color="000000"/>
              <w:right w:val="nil"/>
            </w:tcBorders>
            <w:shd w:val="clear" w:color="auto" w:fill="auto"/>
            <w:tcMar>
              <w:top w:w="0" w:type="dxa"/>
              <w:left w:w="53" w:type="dxa"/>
              <w:bottom w:w="0" w:type="dxa"/>
              <w:right w:w="53" w:type="dxa"/>
            </w:tcMar>
          </w:tcPr>
          <w:p w14:paraId="3FCF5FDB"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color w:val="000000"/>
                <w:sz w:val="20"/>
                <w:szCs w:val="20"/>
              </w:rPr>
              <w:t>General Question 7</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119D32BF" w14:textId="77777777" w:rsidR="00EA4FE6" w:rsidRPr="00F05197" w:rsidRDefault="008A615F">
            <w:pPr>
              <w:keepNext/>
              <w:spacing w:before="48" w:after="30"/>
              <w:ind w:left="55"/>
              <w:rPr>
                <w:rFonts w:ascii="Arial" w:hAnsi="Arial" w:cs="Arial"/>
                <w:sz w:val="20"/>
                <w:szCs w:val="20"/>
              </w:rPr>
            </w:pPr>
            <w:r w:rsidRPr="00F05197">
              <w:rPr>
                <w:rFonts w:ascii="Arial" w:eastAsia="Calibri" w:hAnsi="Arial" w:cs="Arial"/>
                <w:sz w:val="20"/>
                <w:szCs w:val="20"/>
              </w:rPr>
              <w:t>What does initial data load look like?  What is the Respondent expecting from DOR?</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56B08939" w14:textId="1453BA30" w:rsidR="00EA4FE6" w:rsidRPr="00F05197" w:rsidRDefault="00F05197">
            <w:pPr>
              <w:keepNext/>
              <w:spacing w:before="48" w:after="30"/>
              <w:rPr>
                <w:rFonts w:ascii="Arial" w:hAnsi="Arial" w:cs="Arial"/>
                <w:sz w:val="20"/>
                <w:szCs w:val="20"/>
              </w:rPr>
            </w:pPr>
            <w:r w:rsidRPr="00F05197">
              <w:rPr>
                <w:rFonts w:ascii="Arial" w:eastAsia="Arial" w:hAnsi="Arial" w:cs="Arial"/>
                <w:sz w:val="20"/>
                <w:szCs w:val="20"/>
              </w:rPr>
              <w:t xml:space="preserve">The initial data load and getting start begins with DOR providing the respondent with copies of all </w:t>
            </w:r>
            <w:r w:rsidR="004157F4" w:rsidRPr="00F05197">
              <w:rPr>
                <w:rFonts w:ascii="Arial" w:eastAsia="Arial" w:hAnsi="Arial" w:cs="Arial"/>
                <w:sz w:val="20"/>
                <w:szCs w:val="20"/>
              </w:rPr>
              <w:t>i</w:t>
            </w:r>
            <w:r w:rsidR="004A7DB6" w:rsidRPr="00F05197">
              <w:rPr>
                <w:rFonts w:ascii="Arial" w:eastAsia="Arial" w:hAnsi="Arial" w:cs="Arial"/>
                <w:sz w:val="20"/>
                <w:szCs w:val="20"/>
              </w:rPr>
              <w:t>n-scope document</w:t>
            </w:r>
            <w:r w:rsidR="004157F4" w:rsidRPr="00F05197">
              <w:rPr>
                <w:rFonts w:ascii="Arial" w:eastAsia="Arial" w:hAnsi="Arial" w:cs="Arial"/>
                <w:sz w:val="20"/>
                <w:szCs w:val="20"/>
              </w:rPr>
              <w:t>s</w:t>
            </w:r>
            <w:r w:rsidR="004A7DB6" w:rsidRPr="00F05197">
              <w:rPr>
                <w:rFonts w:ascii="Arial" w:eastAsia="Arial" w:hAnsi="Arial" w:cs="Arial"/>
                <w:sz w:val="20"/>
                <w:szCs w:val="20"/>
              </w:rPr>
              <w:t xml:space="preserve"> in native file </w:t>
            </w:r>
            <w:r w:rsidR="004A7DB6" w:rsidRPr="00F05197">
              <w:rPr>
                <w:rFonts w:ascii="Arial" w:eastAsia="Arial" w:hAnsi="Arial" w:cs="Arial"/>
                <w:sz w:val="20"/>
                <w:szCs w:val="20"/>
              </w:rPr>
              <w:t>format</w:t>
            </w:r>
            <w:r w:rsidR="004157F4" w:rsidRPr="00F05197">
              <w:rPr>
                <w:rFonts w:ascii="Arial" w:eastAsia="Arial" w:hAnsi="Arial" w:cs="Arial"/>
                <w:sz w:val="20"/>
                <w:szCs w:val="20"/>
              </w:rPr>
              <w:t>s</w:t>
            </w:r>
            <w:r w:rsidR="004A7DB6" w:rsidRPr="00F05197">
              <w:rPr>
                <w:rFonts w:ascii="Arial" w:eastAsia="Arial" w:hAnsi="Arial" w:cs="Arial"/>
                <w:sz w:val="20"/>
                <w:szCs w:val="20"/>
              </w:rPr>
              <w:t xml:space="preserve"> (e.g. .docx / .xlsx / .pptx)</w:t>
            </w:r>
            <w:r w:rsidR="004A7DB6" w:rsidRPr="00F05197">
              <w:rPr>
                <w:rFonts w:ascii="Arial" w:eastAsia="Arial" w:hAnsi="Arial" w:cs="Arial"/>
                <w:sz w:val="20"/>
                <w:szCs w:val="20"/>
              </w:rPr>
              <w:t xml:space="preserve">. </w:t>
            </w:r>
            <w:r w:rsidRPr="00F05197">
              <w:rPr>
                <w:rFonts w:ascii="Arial" w:eastAsia="Arial" w:hAnsi="Arial" w:cs="Arial"/>
                <w:sz w:val="20"/>
                <w:szCs w:val="20"/>
              </w:rPr>
              <w:t xml:space="preserve">As well as all </w:t>
            </w:r>
            <w:r w:rsidR="004157F4" w:rsidRPr="00F05197">
              <w:rPr>
                <w:rFonts w:ascii="Arial" w:eastAsia="Arial" w:hAnsi="Arial" w:cs="Arial"/>
                <w:sz w:val="20"/>
                <w:szCs w:val="20"/>
              </w:rPr>
              <w:t>in-scope data</w:t>
            </w:r>
            <w:r w:rsidRPr="00F05197">
              <w:rPr>
                <w:rFonts w:ascii="Arial" w:eastAsia="Arial" w:hAnsi="Arial" w:cs="Arial"/>
                <w:sz w:val="20"/>
                <w:szCs w:val="20"/>
              </w:rPr>
              <w:t xml:space="preserve"> sources and sample output files. </w:t>
            </w:r>
          </w:p>
        </w:tc>
      </w:tr>
      <w:tr w:rsidR="00EA4FE6" w:rsidRPr="00F05197" w14:paraId="5F90F92A" w14:textId="77777777" w:rsidTr="004157F4">
        <w:trPr>
          <w:cantSplit/>
          <w:trHeight w:hRule="exact" w:val="3632"/>
        </w:trPr>
        <w:tc>
          <w:tcPr>
            <w:tcW w:w="2003"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3FDAFF5A" w14:textId="77777777" w:rsidR="00EA4FE6" w:rsidRPr="00F05197" w:rsidRDefault="008A615F">
            <w:pPr>
              <w:spacing w:before="48" w:after="30"/>
              <w:ind w:left="55"/>
              <w:rPr>
                <w:rFonts w:ascii="Arial" w:hAnsi="Arial" w:cs="Arial"/>
                <w:sz w:val="20"/>
                <w:szCs w:val="20"/>
              </w:rPr>
            </w:pPr>
            <w:r w:rsidRPr="00F05197">
              <w:rPr>
                <w:rFonts w:ascii="Arial" w:eastAsia="Calibri" w:hAnsi="Arial" w:cs="Arial"/>
                <w:color w:val="000000"/>
                <w:sz w:val="20"/>
                <w:szCs w:val="20"/>
              </w:rPr>
              <w:lastRenderedPageBreak/>
              <w:t>General Question 8</w:t>
            </w:r>
          </w:p>
        </w:tc>
        <w:tc>
          <w:tcPr>
            <w:tcW w:w="4350" w:type="dxa"/>
            <w:tcBorders>
              <w:top w:val="single" w:sz="2" w:space="0" w:color="000000"/>
              <w:left w:val="single" w:sz="2" w:space="0" w:color="000000"/>
              <w:bottom w:val="single" w:sz="2" w:space="0" w:color="000000"/>
              <w:right w:val="nil"/>
            </w:tcBorders>
            <w:tcMar>
              <w:top w:w="0" w:type="dxa"/>
              <w:left w:w="53" w:type="dxa"/>
              <w:bottom w:w="0" w:type="dxa"/>
              <w:right w:w="53" w:type="dxa"/>
            </w:tcMar>
          </w:tcPr>
          <w:p w14:paraId="4F83055F" w14:textId="77777777" w:rsidR="00EA4FE6" w:rsidRPr="00F05197" w:rsidRDefault="008A615F">
            <w:pPr>
              <w:spacing w:before="48" w:after="30"/>
              <w:ind w:left="55"/>
              <w:rPr>
                <w:rFonts w:ascii="Arial" w:hAnsi="Arial" w:cs="Arial"/>
                <w:sz w:val="20"/>
                <w:szCs w:val="20"/>
              </w:rPr>
            </w:pPr>
            <w:r w:rsidRPr="00F05197">
              <w:rPr>
                <w:rFonts w:ascii="Arial" w:eastAsia="Calibri" w:hAnsi="Arial" w:cs="Arial"/>
                <w:color w:val="000000"/>
                <w:sz w:val="20"/>
                <w:szCs w:val="20"/>
              </w:rPr>
              <w:t xml:space="preserve">Please provide Word, Excel, or proprietary "work papers" which show an example of the audit trail detail provided.  The expectation is the ability to see </w:t>
            </w:r>
            <w:proofErr w:type="gramStart"/>
            <w:r w:rsidRPr="00F05197">
              <w:rPr>
                <w:rFonts w:ascii="Arial" w:eastAsia="Calibri" w:hAnsi="Arial" w:cs="Arial"/>
                <w:color w:val="000000"/>
                <w:sz w:val="20"/>
                <w:szCs w:val="20"/>
              </w:rPr>
              <w:t>each and every</w:t>
            </w:r>
            <w:proofErr w:type="gramEnd"/>
            <w:r w:rsidRPr="00F05197">
              <w:rPr>
                <w:rFonts w:ascii="Arial" w:eastAsia="Calibri" w:hAnsi="Arial" w:cs="Arial"/>
                <w:color w:val="000000"/>
                <w:sz w:val="20"/>
                <w:szCs w:val="20"/>
              </w:rPr>
              <w:t xml:space="preserve"> change down to the cell or "track changes" level which shows time, identity, and the nature of what was changed, and how it appeared before the change.  An example of a business need might be a process narrative or Excel spreadsheet is accessed and changed by several people; the final reviewer may wish to view </w:t>
            </w:r>
            <w:proofErr w:type="gramStart"/>
            <w:r w:rsidRPr="00F05197">
              <w:rPr>
                <w:rFonts w:ascii="Arial" w:eastAsia="Calibri" w:hAnsi="Arial" w:cs="Arial"/>
                <w:color w:val="000000"/>
                <w:sz w:val="20"/>
                <w:szCs w:val="20"/>
              </w:rPr>
              <w:t>each and every</w:t>
            </w:r>
            <w:proofErr w:type="gramEnd"/>
            <w:r w:rsidRPr="00F05197">
              <w:rPr>
                <w:rFonts w:ascii="Arial" w:eastAsia="Calibri" w:hAnsi="Arial" w:cs="Arial"/>
                <w:color w:val="000000"/>
                <w:sz w:val="20"/>
                <w:szCs w:val="20"/>
              </w:rPr>
              <w:t xml:space="preserve"> change to the document, performed by who and when.  If the Respondent solution's audit capability exists at this level, please provide relevant examples.</w:t>
            </w:r>
          </w:p>
        </w:tc>
        <w:tc>
          <w:tcPr>
            <w:tcW w:w="8208" w:type="dxa"/>
            <w:tcBorders>
              <w:top w:val="single" w:sz="2" w:space="0" w:color="000000"/>
              <w:left w:val="single" w:sz="2" w:space="0" w:color="000000"/>
              <w:bottom w:val="single" w:sz="2" w:space="0" w:color="000000"/>
              <w:right w:val="single" w:sz="2" w:space="0" w:color="000000"/>
            </w:tcBorders>
            <w:shd w:val="clear" w:color="auto" w:fill="FFFFCC"/>
            <w:tcMar>
              <w:top w:w="0" w:type="dxa"/>
              <w:left w:w="53" w:type="dxa"/>
              <w:bottom w:w="0" w:type="dxa"/>
              <w:right w:w="53" w:type="dxa"/>
            </w:tcMar>
          </w:tcPr>
          <w:p w14:paraId="7071FA01" w14:textId="77777777" w:rsidR="00EA4FE6" w:rsidRPr="00F05197" w:rsidRDefault="008A615F">
            <w:pPr>
              <w:spacing w:before="48" w:after="30"/>
              <w:rPr>
                <w:rFonts w:ascii="Arial" w:hAnsi="Arial" w:cs="Arial"/>
                <w:sz w:val="20"/>
                <w:szCs w:val="20"/>
              </w:rPr>
            </w:pPr>
            <w:r w:rsidRPr="00F05197">
              <w:rPr>
                <w:rFonts w:ascii="Arial" w:eastAsia="Arial" w:hAnsi="Arial" w:cs="Arial"/>
                <w:color w:val="000000"/>
                <w:sz w:val="20"/>
                <w:szCs w:val="20"/>
              </w:rPr>
              <w:t xml:space="preserve">Please refer to the Respondent Response and supporting images on the following page. </w:t>
            </w:r>
          </w:p>
        </w:tc>
      </w:tr>
    </w:tbl>
    <w:p w14:paraId="57B3A363" w14:textId="77777777" w:rsidR="00A77B3E" w:rsidRDefault="00A77B3E">
      <w:pPr>
        <w:spacing w:before="120" w:after="120" w:line="288" w:lineRule="auto"/>
        <w:rPr>
          <w:rFonts w:ascii="Arial" w:eastAsia="Arial" w:hAnsi="Arial" w:cs="Arial"/>
        </w:rPr>
      </w:pPr>
    </w:p>
    <w:p w14:paraId="218FF2B8" w14:textId="77777777" w:rsidR="00A77B3E" w:rsidRDefault="00A77B3E">
      <w:pPr>
        <w:spacing w:line="288" w:lineRule="auto"/>
        <w:jc w:val="both"/>
        <w:rPr>
          <w:rFonts w:ascii="Arial" w:eastAsia="Arial" w:hAnsi="Arial" w:cs="Arial"/>
        </w:rPr>
      </w:pPr>
    </w:p>
    <w:p w14:paraId="2A5F49F2" w14:textId="77777777" w:rsidR="00A77B3E" w:rsidRDefault="00A77B3E">
      <w:pPr>
        <w:spacing w:after="200" w:line="319" w:lineRule="auto"/>
        <w:rPr>
          <w:rFonts w:ascii="Arial" w:eastAsia="Arial" w:hAnsi="Arial" w:cs="Arial"/>
          <w:sz w:val="22"/>
        </w:rPr>
      </w:pPr>
    </w:p>
    <w:p w14:paraId="24A49F3C" w14:textId="77777777" w:rsidR="00A77B3E" w:rsidRDefault="00A77B3E">
      <w:pPr>
        <w:spacing w:line="288" w:lineRule="auto"/>
        <w:rPr>
          <w:rFonts w:ascii="Arial" w:eastAsia="Arial" w:hAnsi="Arial" w:cs="Arial"/>
        </w:rPr>
      </w:pPr>
    </w:p>
    <w:p w14:paraId="5A7D7DDD" w14:textId="77777777" w:rsidR="00A77B3E" w:rsidRDefault="00A77B3E">
      <w:pPr>
        <w:spacing w:line="288" w:lineRule="auto"/>
        <w:rPr>
          <w:rFonts w:ascii="Arial" w:eastAsia="Arial" w:hAnsi="Arial" w:cs="Arial"/>
        </w:rPr>
      </w:pPr>
    </w:p>
    <w:p w14:paraId="1B52628D" w14:textId="77777777" w:rsidR="00A77B3E" w:rsidRDefault="00A77B3E">
      <w:pPr>
        <w:spacing w:line="288" w:lineRule="auto"/>
        <w:rPr>
          <w:rFonts w:ascii="Arial" w:eastAsia="Arial" w:hAnsi="Arial" w:cs="Arial"/>
        </w:rPr>
      </w:pPr>
    </w:p>
    <w:p w14:paraId="429B77D7" w14:textId="77777777" w:rsidR="00A77B3E" w:rsidRDefault="00A77B3E">
      <w:pPr>
        <w:spacing w:line="288" w:lineRule="auto"/>
        <w:rPr>
          <w:rFonts w:ascii="Arial" w:eastAsia="Arial" w:hAnsi="Arial" w:cs="Arial"/>
        </w:rPr>
      </w:pPr>
    </w:p>
    <w:p w14:paraId="61514AEB" w14:textId="77777777" w:rsidR="00A77B3E" w:rsidRDefault="00A77B3E">
      <w:pPr>
        <w:spacing w:line="288" w:lineRule="auto"/>
        <w:rPr>
          <w:rFonts w:ascii="Arial" w:eastAsia="Arial" w:hAnsi="Arial" w:cs="Arial"/>
        </w:rPr>
      </w:pPr>
    </w:p>
    <w:p w14:paraId="06B41515" w14:textId="77777777" w:rsidR="00A77B3E" w:rsidRDefault="00A77B3E">
      <w:pPr>
        <w:spacing w:line="288" w:lineRule="auto"/>
        <w:rPr>
          <w:rFonts w:ascii="Arial" w:eastAsia="Arial" w:hAnsi="Arial" w:cs="Arial"/>
        </w:rPr>
      </w:pPr>
    </w:p>
    <w:p w14:paraId="459975D5" w14:textId="77777777" w:rsidR="00A77B3E" w:rsidRDefault="00A77B3E">
      <w:pPr>
        <w:spacing w:line="288" w:lineRule="auto"/>
        <w:rPr>
          <w:rFonts w:ascii="Arial" w:eastAsia="Arial" w:hAnsi="Arial" w:cs="Arial"/>
        </w:rPr>
      </w:pPr>
    </w:p>
    <w:p w14:paraId="2B4A56DB" w14:textId="77777777" w:rsidR="00A77B3E" w:rsidRDefault="00A77B3E">
      <w:pPr>
        <w:spacing w:line="288" w:lineRule="auto"/>
        <w:rPr>
          <w:rFonts w:ascii="Arial" w:eastAsia="Arial" w:hAnsi="Arial" w:cs="Arial"/>
        </w:rPr>
      </w:pPr>
    </w:p>
    <w:p w14:paraId="5DF2C74E" w14:textId="77777777" w:rsidR="00A77B3E" w:rsidRDefault="00A77B3E">
      <w:pPr>
        <w:spacing w:line="288" w:lineRule="auto"/>
        <w:rPr>
          <w:rFonts w:ascii="Arial" w:eastAsia="Arial" w:hAnsi="Arial" w:cs="Arial"/>
        </w:rPr>
      </w:pPr>
    </w:p>
    <w:p w14:paraId="45D4DA92" w14:textId="77777777" w:rsidR="00A77B3E" w:rsidRDefault="00A77B3E">
      <w:pPr>
        <w:spacing w:line="288" w:lineRule="auto"/>
        <w:rPr>
          <w:rFonts w:ascii="Arial" w:eastAsia="Arial" w:hAnsi="Arial" w:cs="Arial"/>
        </w:rPr>
      </w:pPr>
    </w:p>
    <w:p w14:paraId="11D1E7B6" w14:textId="77777777" w:rsidR="00A77B3E" w:rsidRDefault="00A77B3E">
      <w:pPr>
        <w:spacing w:line="288" w:lineRule="auto"/>
        <w:rPr>
          <w:rFonts w:ascii="Arial" w:eastAsia="Arial" w:hAnsi="Arial" w:cs="Arial"/>
        </w:rPr>
      </w:pPr>
    </w:p>
    <w:p w14:paraId="3CB2EE56" w14:textId="77777777" w:rsidR="009A57EC" w:rsidRDefault="009A57EC">
      <w:pPr>
        <w:rPr>
          <w:rFonts w:ascii="Arial" w:eastAsia="Arial" w:hAnsi="Arial" w:cs="Arial"/>
        </w:rPr>
      </w:pPr>
      <w:r>
        <w:rPr>
          <w:rFonts w:ascii="Arial" w:eastAsia="Arial" w:hAnsi="Arial" w:cs="Arial"/>
        </w:rPr>
        <w:br w:type="page"/>
      </w:r>
    </w:p>
    <w:p w14:paraId="376E1C14" w14:textId="77777777" w:rsidR="00A77B3E" w:rsidRDefault="009A57EC">
      <w:pPr>
        <w:spacing w:line="288" w:lineRule="auto"/>
        <w:rPr>
          <w:rFonts w:ascii="Arial" w:eastAsia="Arial" w:hAnsi="Arial" w:cs="Arial"/>
        </w:rPr>
      </w:pPr>
      <w:r>
        <w:rPr>
          <w:rFonts w:ascii="Arial" w:eastAsia="Arial" w:hAnsi="Arial" w:cs="Arial"/>
        </w:rPr>
        <w:lastRenderedPageBreak/>
        <w:t>General Question 8 – Respondent Response</w:t>
      </w:r>
    </w:p>
    <w:p w14:paraId="16380602" w14:textId="77777777" w:rsidR="00A77B3E" w:rsidRDefault="00A77B3E">
      <w:pPr>
        <w:spacing w:line="288" w:lineRule="auto"/>
        <w:rPr>
          <w:rFonts w:ascii="Arial" w:eastAsia="Arial" w:hAnsi="Arial" w:cs="Arial"/>
        </w:rPr>
      </w:pPr>
    </w:p>
    <w:p w14:paraId="7E4B2CED" w14:textId="77777777" w:rsidR="00A77B3E" w:rsidRPr="009A57EC" w:rsidRDefault="008A615F">
      <w:pPr>
        <w:spacing w:line="288" w:lineRule="auto"/>
        <w:rPr>
          <w:rFonts w:ascii="Arial" w:eastAsia="Arial" w:hAnsi="Arial" w:cs="Arial"/>
        </w:rPr>
      </w:pPr>
      <w:r w:rsidRPr="009A57EC">
        <w:rPr>
          <w:rFonts w:ascii="Arial" w:eastAsia="Adelle Sans" w:hAnsi="Arial" w:cs="Arial"/>
        </w:rPr>
        <w:t>Here is an example of a process narrative built in the document-editor that look</w:t>
      </w:r>
      <w:r w:rsidR="009A57EC">
        <w:rPr>
          <w:rFonts w:ascii="Arial" w:eastAsia="Adelle Sans" w:hAnsi="Arial" w:cs="Arial"/>
        </w:rPr>
        <w:t>s and feels like Microsoft Word</w:t>
      </w:r>
      <w:r w:rsidRPr="009A57EC">
        <w:rPr>
          <w:rFonts w:ascii="Arial" w:eastAsia="Adelle Sans" w:hAnsi="Arial" w:cs="Arial"/>
        </w:rPr>
        <w:t xml:space="preserve"> with an open History panel. The History panel reveals the complete audit trail, specifically changes made by users with date-time stamps.</w:t>
      </w:r>
    </w:p>
    <w:p w14:paraId="250774C3" w14:textId="77777777" w:rsidR="00A77B3E" w:rsidRDefault="00A77B3E">
      <w:pPr>
        <w:spacing w:after="200" w:line="319" w:lineRule="auto"/>
        <w:rPr>
          <w:rFonts w:ascii="Arial" w:eastAsia="Arial" w:hAnsi="Arial" w:cs="Arial"/>
          <w:sz w:val="22"/>
        </w:rPr>
      </w:pPr>
    </w:p>
    <w:p w14:paraId="2A172FA3" w14:textId="77777777" w:rsidR="00A77B3E" w:rsidRDefault="008A615F">
      <w:pPr>
        <w:spacing w:after="200" w:line="319" w:lineRule="auto"/>
        <w:rPr>
          <w:rFonts w:ascii="Arial" w:eastAsia="Arial" w:hAnsi="Arial" w:cs="Arial"/>
          <w:sz w:val="22"/>
        </w:rPr>
      </w:pPr>
      <w:r>
        <w:rPr>
          <w:noProof/>
        </w:rPr>
        <w:drawing>
          <wp:inline distT="0" distB="0" distL="0" distR="0" wp14:anchorId="1EBC1FDD" wp14:editId="321F2C4A">
            <wp:extent cx="9144000" cy="4182110"/>
            <wp:effectExtent l="0" t="0" r="0" b="0"/>
            <wp:docPr id="1025" name="Imag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Image 102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9144000" cy="4182110"/>
                    </a:xfrm>
                    <a:prstGeom prst="rect">
                      <a:avLst/>
                    </a:prstGeom>
                    <a:noFill/>
                    <a:ln>
                      <a:noFill/>
                    </a:ln>
                  </pic:spPr>
                </pic:pic>
              </a:graphicData>
            </a:graphic>
          </wp:inline>
        </w:drawing>
      </w:r>
    </w:p>
    <w:p w14:paraId="568B4F0A" w14:textId="77777777" w:rsidR="00A77B3E" w:rsidRDefault="00A77B3E">
      <w:pPr>
        <w:spacing w:after="200" w:line="319" w:lineRule="auto"/>
        <w:rPr>
          <w:rFonts w:ascii="Calibri" w:eastAsia="Calibri" w:hAnsi="Calibri" w:cs="Calibri"/>
          <w:sz w:val="22"/>
        </w:rPr>
      </w:pPr>
    </w:p>
    <w:p w14:paraId="39640FC5" w14:textId="77777777" w:rsidR="00A77B3E" w:rsidRDefault="00A77B3E">
      <w:pPr>
        <w:spacing w:line="288" w:lineRule="auto"/>
        <w:rPr>
          <w:rFonts w:ascii="Arial" w:eastAsia="Arial" w:hAnsi="Arial" w:cs="Arial"/>
        </w:rPr>
      </w:pPr>
    </w:p>
    <w:p w14:paraId="4EBDC9F0" w14:textId="77777777" w:rsidR="00A77B3E" w:rsidRDefault="00A77B3E">
      <w:pPr>
        <w:spacing w:line="288" w:lineRule="auto"/>
        <w:rPr>
          <w:rFonts w:ascii="Arial" w:eastAsia="Arial" w:hAnsi="Arial" w:cs="Arial"/>
        </w:rPr>
      </w:pPr>
    </w:p>
    <w:p w14:paraId="61F8E011" w14:textId="77777777" w:rsidR="00A77B3E" w:rsidRDefault="00A77B3E">
      <w:pPr>
        <w:spacing w:line="288" w:lineRule="auto"/>
        <w:rPr>
          <w:rFonts w:ascii="Arial" w:eastAsia="Arial" w:hAnsi="Arial" w:cs="Arial"/>
        </w:rPr>
      </w:pPr>
    </w:p>
    <w:p w14:paraId="23B8CAE3" w14:textId="77777777" w:rsidR="00A77B3E" w:rsidRDefault="00A77B3E">
      <w:pPr>
        <w:spacing w:line="288" w:lineRule="auto"/>
        <w:rPr>
          <w:rFonts w:ascii="Arial" w:eastAsia="Arial" w:hAnsi="Arial" w:cs="Arial"/>
        </w:rPr>
      </w:pPr>
    </w:p>
    <w:p w14:paraId="034C30B9" w14:textId="77777777" w:rsidR="00A77B3E" w:rsidRDefault="00A77B3E">
      <w:pPr>
        <w:spacing w:line="288" w:lineRule="auto"/>
        <w:rPr>
          <w:rFonts w:ascii="Arial" w:eastAsia="Arial" w:hAnsi="Arial" w:cs="Arial"/>
        </w:rPr>
      </w:pPr>
    </w:p>
    <w:p w14:paraId="1CF5DCE9" w14:textId="77777777" w:rsidR="00A77B3E" w:rsidRPr="009A57EC" w:rsidRDefault="00A77B3E">
      <w:pPr>
        <w:spacing w:line="288" w:lineRule="auto"/>
        <w:rPr>
          <w:rFonts w:ascii="Arial" w:eastAsia="Arial" w:hAnsi="Arial" w:cs="Arial"/>
        </w:rPr>
      </w:pPr>
    </w:p>
    <w:p w14:paraId="1F2896DD" w14:textId="77777777" w:rsidR="00A77B3E" w:rsidRPr="009A57EC" w:rsidRDefault="008A615F">
      <w:pPr>
        <w:spacing w:line="288" w:lineRule="auto"/>
        <w:rPr>
          <w:rFonts w:ascii="Arial" w:eastAsia="Adelle Sans" w:hAnsi="Arial" w:cs="Arial"/>
        </w:rPr>
      </w:pPr>
      <w:r w:rsidRPr="009A57EC">
        <w:rPr>
          <w:rFonts w:ascii="Arial" w:eastAsia="Adelle Sans" w:hAnsi="Arial" w:cs="Arial"/>
        </w:rPr>
        <w:t xml:space="preserve">Here is an example of the cells-based editor that looks and feels like Microsoft Excel with an open History panel. The History panel reveals the complete audit trail, specifically changes made by users with date-time stamps. For example, </w:t>
      </w:r>
      <w:proofErr w:type="gramStart"/>
      <w:r w:rsidRPr="009A57EC">
        <w:rPr>
          <w:rFonts w:ascii="Arial" w:eastAsia="Adelle Sans" w:hAnsi="Arial" w:cs="Arial"/>
        </w:rPr>
        <w:t>each and every</w:t>
      </w:r>
      <w:proofErr w:type="gramEnd"/>
      <w:r w:rsidRPr="009A57EC">
        <w:rPr>
          <w:rFonts w:ascii="Arial" w:eastAsia="Adelle Sans" w:hAnsi="Arial" w:cs="Arial"/>
        </w:rPr>
        <w:t xml:space="preserve"> change made to cell C20 is documented, including user, date-time stamp and the nature of the change. Lastly, Workiva’s </w:t>
      </w:r>
      <w:r w:rsidR="009A57EC">
        <w:rPr>
          <w:rFonts w:ascii="Arial" w:eastAsia="Adelle Sans" w:hAnsi="Arial" w:cs="Arial"/>
        </w:rPr>
        <w:t>B</w:t>
      </w:r>
      <w:r w:rsidRPr="009A57EC">
        <w:rPr>
          <w:rFonts w:ascii="Arial" w:eastAsia="Adelle Sans" w:hAnsi="Arial" w:cs="Arial"/>
        </w:rPr>
        <w:t>lackline function enables users to see specific changes between two points in time prior to review.</w:t>
      </w:r>
    </w:p>
    <w:p w14:paraId="733059F3" w14:textId="77777777" w:rsidR="00A77B3E" w:rsidRDefault="00A77B3E">
      <w:pPr>
        <w:spacing w:line="288" w:lineRule="auto"/>
        <w:rPr>
          <w:rFonts w:ascii="Arial" w:eastAsia="Arial" w:hAnsi="Arial" w:cs="Arial"/>
        </w:rPr>
      </w:pPr>
    </w:p>
    <w:p w14:paraId="20F7ABED" w14:textId="77777777" w:rsidR="00A77B3E" w:rsidRDefault="008A615F">
      <w:pPr>
        <w:spacing w:line="288" w:lineRule="auto"/>
        <w:rPr>
          <w:rFonts w:ascii="Arial" w:eastAsia="Arial" w:hAnsi="Arial" w:cs="Arial"/>
        </w:rPr>
      </w:pPr>
      <w:r>
        <w:rPr>
          <w:noProof/>
        </w:rPr>
        <w:drawing>
          <wp:inline distT="0" distB="0" distL="0" distR="0" wp14:anchorId="70F2E5E7" wp14:editId="316AB2A6">
            <wp:extent cx="9144000" cy="4146550"/>
            <wp:effectExtent l="0" t="0" r="0" b="0"/>
            <wp:docPr id="1026" name="Imag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Image 1026"/>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9144000" cy="4146550"/>
                    </a:xfrm>
                    <a:prstGeom prst="rect">
                      <a:avLst/>
                    </a:prstGeom>
                    <a:noFill/>
                    <a:ln>
                      <a:noFill/>
                    </a:ln>
                  </pic:spPr>
                </pic:pic>
              </a:graphicData>
            </a:graphic>
          </wp:inline>
        </w:drawing>
      </w:r>
    </w:p>
    <w:p w14:paraId="588B6542" w14:textId="77777777" w:rsidR="00A77B3E" w:rsidRDefault="00A77B3E">
      <w:pPr>
        <w:spacing w:line="288" w:lineRule="auto"/>
        <w:rPr>
          <w:rFonts w:ascii="Arial" w:eastAsia="Arial" w:hAnsi="Arial" w:cs="Arial"/>
        </w:rPr>
      </w:pPr>
    </w:p>
    <w:p w14:paraId="76B87DB9" w14:textId="77777777" w:rsidR="00A77B3E" w:rsidRDefault="00A77B3E">
      <w:pPr>
        <w:spacing w:line="288" w:lineRule="auto"/>
        <w:rPr>
          <w:rFonts w:ascii="Arial" w:eastAsia="Arial" w:hAnsi="Arial" w:cs="Arial"/>
        </w:rPr>
      </w:pPr>
    </w:p>
    <w:sectPr w:rsidR="00A77B3E">
      <w:headerReference w:type="default" r:id="rId9"/>
      <w:footerReference w:type="default" r:id="rId10"/>
      <w:type w:val="continuous"/>
      <w:pgSz w:w="15840" w:h="12240" w:orient="landscape"/>
      <w:pgMar w:top="720" w:right="720" w:bottom="1232" w:left="72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1DFF81" w14:textId="77777777" w:rsidR="00DF6381" w:rsidRDefault="00DF6381">
      <w:r>
        <w:separator/>
      </w:r>
    </w:p>
  </w:endnote>
  <w:endnote w:type="continuationSeparator" w:id="0">
    <w:p w14:paraId="0FF3154B" w14:textId="77777777" w:rsidR="00DF6381" w:rsidRDefault="00DF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delle Sans">
    <w:altName w:val="MV Bol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3401" w14:textId="77777777" w:rsidR="00EA4FE6" w:rsidRDefault="008A615F">
    <w:pPr>
      <w:spacing w:line="288" w:lineRule="auto"/>
      <w:jc w:val="center"/>
      <w:rPr>
        <w:rFonts w:ascii="Arial" w:eastAsia="Arial" w:hAnsi="Arial" w:cs="Arial"/>
      </w:rPr>
    </w:pPr>
    <w:r>
      <w:rPr>
        <w:rFonts w:ascii="Calibri" w:eastAsia="Calibri" w:hAnsi="Calibri" w:cs="Calibri"/>
        <w:b/>
        <w:sz w:val="22"/>
      </w:rPr>
      <w:t xml:space="preserve">                                                                                                                                                                                                                                                               </w:t>
    </w:r>
    <w:r>
      <w:rPr>
        <w:rFonts w:ascii="Calibri" w:eastAsia="Calibri" w:hAnsi="Calibri" w:cs="Calibri"/>
        <w:b/>
        <w:sz w:val="22"/>
      </w:rPr>
      <w:fldChar w:fldCharType="begin"/>
    </w:r>
    <w:r>
      <w:rPr>
        <w:rFonts w:ascii="Calibri" w:eastAsia="Calibri" w:hAnsi="Calibri" w:cs="Calibri"/>
        <w:b/>
        <w:sz w:val="22"/>
      </w:rPr>
      <w:instrText xml:space="preserve"> PAGE </w:instrText>
    </w:r>
    <w:r>
      <w:rPr>
        <w:rFonts w:ascii="Calibri" w:eastAsia="Calibri" w:hAnsi="Calibri" w:cs="Calibri"/>
        <w:b/>
        <w:sz w:val="22"/>
      </w:rPr>
      <w:fldChar w:fldCharType="separate"/>
    </w:r>
    <w:r w:rsidR="000178A4">
      <w:rPr>
        <w:rFonts w:ascii="Calibri" w:eastAsia="Calibri" w:hAnsi="Calibri" w:cs="Calibri"/>
        <w:b/>
        <w:noProof/>
        <w:sz w:val="22"/>
      </w:rPr>
      <w:t>3</w:t>
    </w:r>
    <w:r>
      <w:rPr>
        <w:rFonts w:ascii="Calibri" w:eastAsia="Calibri" w:hAnsi="Calibri" w:cs="Calibri"/>
        <w:b/>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9A2682" w14:textId="77777777" w:rsidR="00DF6381" w:rsidRDefault="00DF6381">
      <w:r>
        <w:separator/>
      </w:r>
    </w:p>
  </w:footnote>
  <w:footnote w:type="continuationSeparator" w:id="0">
    <w:p w14:paraId="12215E4F" w14:textId="77777777" w:rsidR="00DF6381" w:rsidRDefault="00DF6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1AA70" w14:textId="77777777" w:rsidR="00EA4FE6" w:rsidRDefault="00EA4FE6">
    <w:pPr>
      <w:spacing w:line="288" w:lineRule="auto"/>
      <w:rPr>
        <w:rFonts w:ascii="Arial" w:eastAsia="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styleLink w:val="DiscSYMBOL"/>
    <w:lvl w:ilvl="0">
      <w:start w:val="1"/>
      <w:numFmt w:val="decimal"/>
      <w:lvlText w:val="•"/>
      <w:lvlJc w:val="left"/>
      <w:pPr>
        <w:tabs>
          <w:tab w:val="num" w:pos="720"/>
        </w:tabs>
        <w:ind w:left="720" w:hanging="360"/>
      </w:p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1" w15:restartNumberingAfterBreak="0">
    <w:nsid w:val="00000002"/>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0"/>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2" w15:restartNumberingAfterBreak="0">
    <w:nsid w:val="00000003"/>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0"/>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3" w15:restartNumberingAfterBreak="0">
    <w:nsid w:val="00000004"/>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0"/>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4" w15:restartNumberingAfterBreak="0">
    <w:nsid w:val="00000005"/>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0"/>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abstractNum w:abstractNumId="5" w15:restartNumberingAfterBreak="0">
    <w:nsid w:val="00000006"/>
    <w:multiLevelType w:val="multilevel"/>
    <w:tmpl w:val="00000001"/>
    <w:lvl w:ilvl="0">
      <w:start w:val="1"/>
      <w:numFmt w:val="decimal"/>
      <w:lvlText w:val="•"/>
      <w:lvlJc w:val="left"/>
      <w:pPr>
        <w:tabs>
          <w:tab w:val="num" w:pos="720"/>
        </w:tabs>
        <w:ind w:left="720" w:hanging="360"/>
      </w:pPr>
      <w:rPr>
        <w:rFonts w:ascii="Arial" w:eastAsia="Arial" w:hAnsi="Arial" w:cs="Arial"/>
        <w:color w:val="000000"/>
        <w:sz w:val="20"/>
      </w:rPr>
    </w:lvl>
    <w:lvl w:ilvl="1">
      <w:start w:val="1"/>
      <w:numFmt w:val="lowerLetter"/>
      <w:lvlText w:val="◦"/>
      <w:lvlJc w:val="left"/>
      <w:pPr>
        <w:tabs>
          <w:tab w:val="num" w:pos="1440"/>
        </w:tabs>
        <w:ind w:left="1440" w:hanging="360"/>
      </w:pPr>
    </w:lvl>
    <w:lvl w:ilvl="2">
      <w:start w:val="1"/>
      <w:numFmt w:val="lowerRoman"/>
      <w:lvlText w:val="▪"/>
      <w:lvlJc w:val="left"/>
      <w:pPr>
        <w:tabs>
          <w:tab w:val="num" w:pos="2160"/>
        </w:tabs>
        <w:ind w:left="2160" w:hanging="180"/>
      </w:pPr>
    </w:lvl>
    <w:lvl w:ilvl="3">
      <w:start w:val="1"/>
      <w:numFmt w:val="decimal"/>
      <w:lvlText w:val="•"/>
      <w:lvlJc w:val="left"/>
      <w:pPr>
        <w:tabs>
          <w:tab w:val="num" w:pos="2880"/>
        </w:tabs>
        <w:ind w:left="2880" w:hanging="360"/>
      </w:pPr>
    </w:lvl>
    <w:lvl w:ilvl="4">
      <w:start w:val="1"/>
      <w:numFmt w:val="lowerLetter"/>
      <w:lvlText w:val="◦"/>
      <w:lvlJc w:val="left"/>
      <w:pPr>
        <w:tabs>
          <w:tab w:val="num" w:pos="3600"/>
        </w:tabs>
        <w:ind w:left="3600" w:hanging="360"/>
      </w:pPr>
    </w:lvl>
    <w:lvl w:ilvl="5">
      <w:start w:val="1"/>
      <w:numFmt w:val="lowerRoman"/>
      <w:lvlText w:val="▪"/>
      <w:lvlJc w:val="left"/>
      <w:pPr>
        <w:tabs>
          <w:tab w:val="num" w:pos="4320"/>
        </w:tabs>
        <w:ind w:left="4320" w:hanging="180"/>
      </w:pPr>
    </w:lvl>
    <w:lvl w:ilvl="6">
      <w:start w:val="1"/>
      <w:numFmt w:val="decimal"/>
      <w:lvlText w:val="•"/>
      <w:lvlJc w:val="left"/>
      <w:pPr>
        <w:tabs>
          <w:tab w:val="num" w:pos="5040"/>
        </w:tabs>
        <w:ind w:left="5040" w:hanging="360"/>
      </w:pPr>
    </w:lvl>
    <w:lvl w:ilvl="7">
      <w:start w:val="1"/>
      <w:numFmt w:val="lowerLetter"/>
      <w:lvlText w:val="◦"/>
      <w:lvlJc w:val="left"/>
      <w:pPr>
        <w:tabs>
          <w:tab w:val="num" w:pos="5760"/>
        </w:tabs>
        <w:ind w:left="5760" w:hanging="360"/>
      </w:pPr>
    </w:lvl>
    <w:lvl w:ilvl="8">
      <w:start w:val="1"/>
      <w:numFmt w:val="lowerRoman"/>
      <w:lvlText w:val="▪"/>
      <w:lvlJc w:val="lef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178A4"/>
    <w:rsid w:val="002C1225"/>
    <w:rsid w:val="003626DD"/>
    <w:rsid w:val="004157F4"/>
    <w:rsid w:val="004A7DB6"/>
    <w:rsid w:val="00542FCF"/>
    <w:rsid w:val="00580F27"/>
    <w:rsid w:val="00696656"/>
    <w:rsid w:val="008A615F"/>
    <w:rsid w:val="009A57EC"/>
    <w:rsid w:val="009E13CE"/>
    <w:rsid w:val="00A77B3E"/>
    <w:rsid w:val="00B04135"/>
    <w:rsid w:val="00CA2A55"/>
    <w:rsid w:val="00DF6381"/>
    <w:rsid w:val="00EA4FE6"/>
    <w:rsid w:val="00F05197"/>
    <w:rsid w:val="00F71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31DA3E"/>
  <w15:docId w15:val="{A221C890-A554-4F4E-9677-E002E81D7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kern w:val="16"/>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DiscSYMBOL">
    <w:name w:val="DiscSYMBOL•◦▪"/>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534</TotalTime>
  <Pages>8</Pages>
  <Words>1492</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Workiva RFP Response - Indiana DOR Clarification</vt:lpstr>
    </vt:vector>
  </TitlesOfParts>
  <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Workiva RFP Response - Indiana DOR Clarification</dc:title>
  <dc:creator>Priory, Ricky</dc:creator>
  <cp:lastModifiedBy>Priory, Ricky</cp:lastModifiedBy>
  <cp:revision>5</cp:revision>
  <dcterms:created xsi:type="dcterms:W3CDTF">2021-09-02T04:36:00Z</dcterms:created>
  <dcterms:modified xsi:type="dcterms:W3CDTF">2021-09-02T13:17:00Z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2021-09-02T03:00:19Z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95165c05-b47c-44bb-89de-145425d03bf6</vt:lpwstr>
  </property>
  <property fmtid="{D5CDD505-2E9C-101B-9397-08002B2CF9AE}" pid="8" name="MSIP_Label_ea60d57e-af5b-4752-ac57-3e4f28ca11dc_ContentBits">
    <vt:lpwstr>0</vt:lpwstr>
  </property>
</Properties>
</file>